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4B9A" w14:textId="4043EA5C"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w:t>
      </w:r>
      <w:r w:rsidR="003E2633">
        <w:rPr>
          <w:color w:val="auto"/>
          <w:sz w:val="28"/>
          <w:szCs w:val="28"/>
        </w:rPr>
        <w:t>101</w:t>
      </w:r>
      <w:r w:rsidR="006A4C0A">
        <w:rPr>
          <w:color w:val="auto"/>
          <w:sz w:val="28"/>
          <w:szCs w:val="28"/>
        </w:rPr>
        <w:t>)</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7F12A089" w:rsidR="00F16CDE" w:rsidRDefault="006A4C0A" w:rsidP="00111B1A">
      <w:pPr>
        <w:jc w:val="center"/>
        <w:rPr>
          <w:szCs w:val="28"/>
        </w:rPr>
      </w:pPr>
      <w:r>
        <w:rPr>
          <w:szCs w:val="28"/>
        </w:rPr>
        <w:t xml:space="preserve">Class Meetings </w:t>
      </w:r>
    </w:p>
    <w:p w14:paraId="08A59731" w14:textId="2A896945" w:rsidR="00E219D4" w:rsidRDefault="00E219D4" w:rsidP="00111B1A">
      <w:pPr>
        <w:jc w:val="center"/>
        <w:rPr>
          <w:szCs w:val="28"/>
        </w:rPr>
      </w:pPr>
      <w:r>
        <w:rPr>
          <w:szCs w:val="28"/>
        </w:rPr>
        <w:t>Number</w:t>
      </w:r>
      <w:r w:rsidR="00376937">
        <w:rPr>
          <w:szCs w:val="28"/>
        </w:rPr>
        <w:t xml:space="preserve"> of</w:t>
      </w:r>
      <w:r>
        <w:rPr>
          <w:szCs w:val="28"/>
        </w:rPr>
        <w:t xml:space="preserve"> Credit Hours</w:t>
      </w:r>
    </w:p>
    <w:p w14:paraId="6336347D" w14:textId="77777777" w:rsidR="00F16CDE" w:rsidRDefault="00F16CDE" w:rsidP="00111B1A">
      <w:pPr>
        <w:jc w:val="center"/>
        <w:rPr>
          <w:szCs w:val="28"/>
        </w:rPr>
      </w:pPr>
    </w:p>
    <w:p w14:paraId="239F395D" w14:textId="49F9C716" w:rsidR="00EA28DE" w:rsidRPr="00DE2C51" w:rsidRDefault="00EA28DE" w:rsidP="00EA28DE">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See </w:t>
      </w:r>
      <w:hyperlink r:id="rId8" w:history="1">
        <w:r w:rsidRPr="00B51AB4">
          <w:rPr>
            <w:rStyle w:val="Hyperlink"/>
          </w:rPr>
          <w:t>ACAF 2.03</w:t>
        </w:r>
      </w:hyperlink>
      <w:r>
        <w:t xml:space="preserve"> (</w:t>
      </w:r>
      <w:r w:rsidRPr="00B51AB4">
        <w:t>https://www.sc.edu/policies/ppm/acaf203.pdf</w:t>
      </w:r>
      <w:r>
        <w:t>) for all required syllabus components.</w:t>
      </w:r>
      <w:r w:rsidRPr="00FB4E6D">
        <w:t xml:space="preserve"> It is recommended that you maintain the heading structure and modify the text for your individual course.</w:t>
      </w:r>
      <w:r>
        <w:t>]</w:t>
      </w:r>
    </w:p>
    <w:p w14:paraId="153487FB" w14:textId="77777777" w:rsidR="006B6644" w:rsidRDefault="006B6644" w:rsidP="003D6EB2"/>
    <w:p w14:paraId="7B44A8C2" w14:textId="4CDC2050" w:rsidR="00623D60" w:rsidRPr="00DE2C51" w:rsidRDefault="00C93967" w:rsidP="003D6EB2">
      <w:r w:rsidRPr="00DE2C51">
        <w:t>Instructor</w:t>
      </w:r>
      <w:r w:rsidR="00B912FC" w:rsidRPr="00DE2C51">
        <w:t xml:space="preserve"> Name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306FC5B2" w14:textId="77777777" w:rsidR="001138EC" w:rsidRPr="003F48FF" w:rsidRDefault="001138EC" w:rsidP="001138EC"/>
    <w:p w14:paraId="43BC16FC" w14:textId="5065A666" w:rsidR="00F079CA" w:rsidRDefault="00B912FC" w:rsidP="00F37BAB">
      <w:pPr>
        <w:pStyle w:val="Heading2"/>
      </w:pPr>
      <w:r w:rsidRPr="003F48FF">
        <w:t xml:space="preserve">Academic </w:t>
      </w:r>
      <w:r w:rsidRPr="00DE2C51">
        <w:t>Bulletin</w:t>
      </w:r>
      <w:r w:rsidRPr="003F48FF">
        <w:t xml:space="preserve"> </w:t>
      </w:r>
      <w:r w:rsidRPr="00F37BAB">
        <w:t>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Default="00B912FC" w:rsidP="00F37BAB">
      <w:pPr>
        <w:pStyle w:val="Heading2"/>
      </w:pPr>
      <w:r w:rsidRPr="00DE2C51">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says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4C92884F" w14:textId="77777777" w:rsidR="004030AC" w:rsidRDefault="004030AC" w:rsidP="004030AC">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2C842880" w14:textId="77777777" w:rsidR="004030AC" w:rsidRDefault="004030AC" w:rsidP="004030AC">
      <w:r>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2E597D68" w14:textId="056E691E" w:rsidR="006D2DCB" w:rsidRDefault="003E2633" w:rsidP="00614691">
      <w:pPr>
        <w:pStyle w:val="Heading2"/>
      </w:pPr>
      <w:r>
        <w:t>Required Texts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Pinger,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1B3F785A" w14:textId="7E63F954" w:rsidR="00F37BAB" w:rsidRDefault="00614691" w:rsidP="00614691">
      <w:pPr>
        <w:pStyle w:val="Heading2"/>
      </w:pPr>
      <w: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16E7904E" w14:textId="77777777"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w:t>
      </w:r>
      <w:r w:rsidRPr="003F48FF">
        <w:rPr>
          <w:rFonts w:eastAsia="Calibri"/>
        </w:rPr>
        <w:lastRenderedPageBreak/>
        <w:t>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C469ED8" w14:textId="74F47C26"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567F2D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E47432">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4D97368C" w14:textId="77777777" w:rsidR="008F3F3A" w:rsidRDefault="008F3F3A" w:rsidP="00FB2594"/>
    <w:p w14:paraId="552EBA74" w14:textId="122A391D" w:rsidR="008926DC" w:rsidRDefault="008926DC" w:rsidP="008926DC">
      <w:r>
        <w:t xml:space="preserve">[Note from the </w:t>
      </w:r>
      <w:hyperlink r:id="rId11" w:history="1">
        <w:r w:rsidRPr="00E44518">
          <w:rPr>
            <w:rStyle w:val="Hyperlink"/>
          </w:rPr>
          <w:t>Faculty Manual</w:t>
        </w:r>
      </w:hyperlink>
      <w:r w:rsidRPr="00E44518">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021DA2AC" w14:textId="77777777" w:rsidR="00FB2594" w:rsidRDefault="00FB2594" w:rsidP="00FB2594"/>
    <w:p w14:paraId="7132F93E" w14:textId="39E0DA25" w:rsidR="00FB2594" w:rsidRDefault="00FB2594" w:rsidP="00FB2594">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p>
    <w:p w14:paraId="4F80A553" w14:textId="5C70C667" w:rsidR="00AB044B" w:rsidRPr="00AB044B" w:rsidRDefault="00FB2594" w:rsidP="00FB2594">
      <w:r>
        <w:t>three times a week, no quiz, test, or examination shall be given during the last three sessions before the regular examination period.</w:t>
      </w:r>
      <w:r w:rsidR="00AB044B">
        <w:t>]</w:t>
      </w:r>
    </w:p>
    <w:p w14:paraId="0480CD7C" w14:textId="77777777" w:rsidR="008429F7" w:rsidRDefault="008429F7" w:rsidP="00614691">
      <w:pPr>
        <w:rPr>
          <w:rFonts w:eastAsia="Calibri"/>
        </w:rPr>
      </w:pPr>
    </w:p>
    <w:p w14:paraId="2B327FAD" w14:textId="2A48274F"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p>
    <w:p w14:paraId="3EF86648" w14:textId="77777777" w:rsidR="00614691" w:rsidRPr="003F48FF" w:rsidRDefault="00614691" w:rsidP="00614691"/>
    <w:p w14:paraId="5A78B9B6" w14:textId="3AE719C3" w:rsidR="00614691" w:rsidRPr="003F48FF" w:rsidRDefault="008429F7" w:rsidP="00614691">
      <w:pPr>
        <w:pStyle w:val="Heading3"/>
        <w:rPr>
          <w:color w:val="auto"/>
        </w:rPr>
      </w:pPr>
      <w:r>
        <w:rPr>
          <w:color w:val="auto"/>
        </w:rPr>
        <w:t>Evaluation a</w:t>
      </w:r>
      <w:r w:rsidR="002466BC" w:rsidRPr="003F48FF">
        <w:rPr>
          <w:color w:val="auto"/>
        </w:rPr>
        <w:t>nd Grading Scale</w:t>
      </w:r>
    </w:p>
    <w:p w14:paraId="2936949C" w14:textId="77777777" w:rsidR="002466BC" w:rsidRDefault="002466BC" w:rsidP="00614691"/>
    <w:p w14:paraId="4E931418" w14:textId="4C3CAC1C" w:rsidR="002119B3" w:rsidRDefault="002119B3" w:rsidP="00614691">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p>
    <w:p w14:paraId="15269389" w14:textId="77777777" w:rsidR="002119B3" w:rsidRDefault="002119B3" w:rsidP="00614691"/>
    <w:p w14:paraId="647967FC" w14:textId="2583DBC6"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lastRenderedPageBreak/>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7777777" w:rsidR="00936F9B" w:rsidRDefault="002466BC" w:rsidP="00614691">
      <w:r>
        <w:t>Discussion Board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Default="00B55831" w:rsidP="00B55831">
      <w:r>
        <w:t>89.5% - 100% = A</w:t>
      </w:r>
    </w:p>
    <w:p w14:paraId="407C14B4" w14:textId="1E43CD97" w:rsidR="00B55831" w:rsidRDefault="00B55831" w:rsidP="00B55831">
      <w:r>
        <w:t>84.5% - 89.4% = B+</w:t>
      </w:r>
    </w:p>
    <w:p w14:paraId="73330A1D" w14:textId="291A9FD9" w:rsidR="00B55831" w:rsidRDefault="00B55831" w:rsidP="00B55831">
      <w:r>
        <w:t>79.5% - 84.4% = B</w:t>
      </w:r>
    </w:p>
    <w:p w14:paraId="0817FABE" w14:textId="69A65A14" w:rsidR="00B55831" w:rsidRDefault="00B55831" w:rsidP="00B55831">
      <w:r>
        <w:t>74.5% - 79.4% = C+</w:t>
      </w:r>
    </w:p>
    <w:p w14:paraId="1AFAF669" w14:textId="19657E31" w:rsidR="00B55831" w:rsidRDefault="00B55831" w:rsidP="00B55831">
      <w:r>
        <w:t>69.5% - 74.4% = C</w:t>
      </w:r>
    </w:p>
    <w:p w14:paraId="28CBD424" w14:textId="04A50ACD" w:rsidR="00B55831" w:rsidRDefault="00B55831" w:rsidP="00B55831">
      <w:r>
        <w:t>64.5% - 69.4% = D+</w:t>
      </w:r>
    </w:p>
    <w:p w14:paraId="2E96332F" w14:textId="59F2F4EC" w:rsidR="00B55831" w:rsidRDefault="00B55831" w:rsidP="00B55831">
      <w:r>
        <w:t>59.5% - 64.4% = D</w:t>
      </w:r>
    </w:p>
    <w:p w14:paraId="75F27BEA" w14:textId="65DF2CE1" w:rsidR="00B55831" w:rsidRDefault="00B55831" w:rsidP="00B55831">
      <w:r>
        <w:t>0% - 59.4% = F</w:t>
      </w:r>
    </w:p>
    <w:p w14:paraId="67F484FE" w14:textId="77777777" w:rsidR="00B55831" w:rsidRDefault="00B55831" w:rsidP="00614691"/>
    <w:p w14:paraId="7CFE8E18" w14:textId="69A09AE5" w:rsidR="00433CD1" w:rsidRDefault="00433CD1" w:rsidP="00433CD1">
      <w:pPr>
        <w:pStyle w:val="Heading2"/>
      </w:pPr>
      <w:r>
        <w:t>Course Policies and Procedures</w:t>
      </w:r>
    </w:p>
    <w:p w14:paraId="06C761E5" w14:textId="77777777" w:rsidR="00433CD1" w:rsidRDefault="00433CD1" w:rsidP="00433CD1"/>
    <w:p w14:paraId="5A6E099E" w14:textId="1C74322F" w:rsidR="00433CD1" w:rsidRDefault="00433CD1" w:rsidP="00433CD1">
      <w:r w:rsidRPr="003F48FF">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rsidR="00206B71">
        <w:t>a</w:t>
      </w:r>
      <w:r w:rsidRPr="003F48FF">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30B60207" w14:textId="51788EEC" w:rsidR="006956A4" w:rsidRDefault="006956A4" w:rsidP="00433CD1"/>
    <w:p w14:paraId="6C57CB91" w14:textId="2A850B6D" w:rsidR="006956A4" w:rsidRDefault="006956A4" w:rsidP="006956A4">
      <w:r>
        <w:t xml:space="preserve">The </w:t>
      </w:r>
      <w:hyperlink r:id="rId12" w:history="1">
        <w:r w:rsidRPr="00E44518">
          <w:rPr>
            <w:rStyle w:val="Hyperlink"/>
          </w:rPr>
          <w:t>Undergraduate Studies Bulletin</w:t>
        </w:r>
      </w:hyperlink>
      <w:r w:rsidRPr="00E44518">
        <w:t xml:space="preserve"> (https://academicbulletins.sc.edu/undergraduate/policies-regulations/undergraduate-</w:t>
      </w:r>
      <w:r w:rsidRPr="00E44518">
        <w:lastRenderedPageBreak/>
        <w:t>academic-regulations)</w:t>
      </w:r>
      <w:r>
        <w:t xml:space="preserve"> is the official document of record concerning undergraduate academic programs and regulations.</w:t>
      </w:r>
    </w:p>
    <w:p w14:paraId="7F29687E" w14:textId="77777777" w:rsidR="006956A4" w:rsidRDefault="006956A4" w:rsidP="006956A4"/>
    <w:p w14:paraId="729A9C7C" w14:textId="77777777" w:rsidR="006956A4" w:rsidRDefault="006956A4" w:rsidP="006956A4">
      <w:r>
        <w:t>All graduate students are subject to the academic policies, regulations, and academic standards of both The Graduate School and the department, school and/or college in which enrolled.</w:t>
      </w:r>
    </w:p>
    <w:p w14:paraId="307244D9" w14:textId="77777777" w:rsidR="006956A4" w:rsidRDefault="006956A4" w:rsidP="006956A4"/>
    <w:p w14:paraId="2AC7FFCA" w14:textId="4EA52192" w:rsidR="006956A4" w:rsidRPr="003D6EB2" w:rsidRDefault="00000000" w:rsidP="006956A4">
      <w:hyperlink r:id="rId13" w:history="1">
        <w:r w:rsidR="00572E20">
          <w:rPr>
            <w:rStyle w:val="Hyperlink"/>
          </w:rPr>
          <w:t>USC</w:t>
        </w:r>
        <w:r w:rsidR="00E44518" w:rsidRPr="00E44518">
          <w:rPr>
            <w:rStyle w:val="Hyperlink"/>
          </w:rPr>
          <w:t xml:space="preserve"> graduate bulletin</w:t>
        </w:r>
      </w:hyperlink>
      <w:r w:rsidR="00E44518" w:rsidRPr="00E44518">
        <w:t xml:space="preserve"> (</w:t>
      </w:r>
      <w:bookmarkStart w:id="0" w:name="_Hlk74030219"/>
      <w:r w:rsidR="00E44518" w:rsidRPr="00E44518">
        <w:t>https://academicbulletins.sc.edu/graduate/policies-regulations/graduate-academic-regulations</w:t>
      </w:r>
      <w:bookmarkEnd w:id="0"/>
      <w:r w:rsidR="00E44518" w:rsidRPr="00E44518">
        <w:t>)</w:t>
      </w:r>
    </w:p>
    <w:p w14:paraId="4C9E228F" w14:textId="77777777" w:rsidR="00433CD1" w:rsidRDefault="00433CD1" w:rsidP="000C0E43"/>
    <w:p w14:paraId="4B9072F0" w14:textId="36E19953" w:rsidR="00433CD1" w:rsidRPr="003F48FF" w:rsidRDefault="00433CD1" w:rsidP="00433CD1">
      <w:pPr>
        <w:pStyle w:val="Heading3"/>
        <w:rPr>
          <w:color w:val="auto"/>
        </w:rPr>
      </w:pPr>
      <w:r w:rsidRPr="003F48FF">
        <w:rPr>
          <w:color w:val="auto"/>
        </w:rPr>
        <w:t>Attendance</w:t>
      </w:r>
      <w:r>
        <w:rPr>
          <w:color w:val="auto"/>
        </w:rPr>
        <w:t xml:space="preserve"> Policy</w:t>
      </w:r>
    </w:p>
    <w:p w14:paraId="2DA1F284" w14:textId="77777777" w:rsidR="00433CD1" w:rsidRDefault="00433CD1" w:rsidP="00433CD1"/>
    <w:p w14:paraId="59A9078E" w14:textId="77777777" w:rsidR="003714A8" w:rsidRDefault="003714A8" w:rsidP="003714A8">
      <w:r>
        <w:t xml:space="preserve">[Resource: View the </w:t>
      </w:r>
      <w:hyperlink r:id="rId14" w:history="1">
        <w:r>
          <w:rPr>
            <w:rStyle w:val="Hyperlink"/>
          </w:rPr>
          <w:t>Interfaith Calendar</w:t>
        </w:r>
      </w:hyperlink>
      <w: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p>
    <w:p w14:paraId="54163B71" w14:textId="77777777" w:rsidR="003714A8" w:rsidRDefault="003714A8" w:rsidP="00361684"/>
    <w:p w14:paraId="7697C911" w14:textId="31641A00" w:rsidR="00361684" w:rsidRDefault="00361684" w:rsidP="00361684">
      <w:pPr>
        <w:rPr>
          <w:rFonts w:eastAsiaTheme="minorHAnsi"/>
          <w:lang w:eastAsia="en-US"/>
        </w:rPr>
      </w:pPr>
      <w:r>
        <w:t xml:space="preserve">When you miss class, you miss important information. If you are absent, you are responsible for learning material covered in class.  If you have an </w:t>
      </w:r>
      <w:hyperlink r:id="rId15" w:anchor="text" w:history="1">
        <w:r>
          <w:rPr>
            <w:rStyle w:val="Hyperlink"/>
          </w:rPr>
          <w:t>excused absence</w:t>
        </w:r>
      </w:hyperlink>
      <w:r w:rsidR="00E44518">
        <w:rPr>
          <w:rStyle w:val="Hyperlink"/>
        </w:rPr>
        <w:t xml:space="preserve"> </w:t>
      </w:r>
      <w:r w:rsidR="00E44518" w:rsidRPr="00E44518">
        <w:rPr>
          <w:rStyle w:val="Hyperlink"/>
          <w:color w:val="auto"/>
          <w:u w:val="none"/>
        </w:rPr>
        <w:t>(https://academicbulletins.sc.edu/undergraduate/policies-regulations/undergraduate-academic-regulations)</w:t>
      </w:r>
      <w:r w:rsidRPr="00E44518">
        <w:t xml:space="preserve">, </w:t>
      </w:r>
      <w:r>
        <w:t xml:space="preserve">you will be permitted to make up coursework or complete an equivalent assignment agreed upon with me. </w:t>
      </w:r>
    </w:p>
    <w:p w14:paraId="38098145" w14:textId="77777777" w:rsidR="00361684" w:rsidRDefault="00361684" w:rsidP="00361684">
      <w:r>
        <w:t>To arrange excuses for absences that can be anticipated at the start of the term, you should:</w:t>
      </w:r>
    </w:p>
    <w:p w14:paraId="5FB103B7" w14:textId="77777777" w:rsidR="00361684" w:rsidRDefault="00361684" w:rsidP="00361684">
      <w:pPr>
        <w:pStyle w:val="ListParagraph"/>
        <w:numPr>
          <w:ilvl w:val="0"/>
          <w:numId w:val="38"/>
        </w:numPr>
        <w:tabs>
          <w:tab w:val="clear" w:pos="0"/>
        </w:tabs>
        <w:autoSpaceDE/>
        <w:autoSpaceDN/>
        <w:adjustRightInd/>
        <w:spacing w:after="160" w:line="256" w:lineRule="auto"/>
        <w:rPr>
          <w:szCs w:val="24"/>
        </w:rPr>
      </w:pPr>
      <w:r>
        <w:rPr>
          <w:szCs w:val="24"/>
        </w:rPr>
        <w:t>Submit a request in writing (email is acceptable) stating the dates of the anticipated absence no later than the end of the second week of the course.</w:t>
      </w:r>
    </w:p>
    <w:p w14:paraId="24E8608B" w14:textId="7F18B0CC" w:rsidR="00361684" w:rsidRDefault="00361684" w:rsidP="00361684">
      <w:pPr>
        <w:pStyle w:val="ListParagraph"/>
        <w:numPr>
          <w:ilvl w:val="0"/>
          <w:numId w:val="38"/>
        </w:numPr>
        <w:tabs>
          <w:tab w:val="clear" w:pos="0"/>
        </w:tabs>
        <w:autoSpaceDE/>
        <w:autoSpaceDN/>
        <w:adjustRightInd/>
        <w:spacing w:after="160" w:line="256" w:lineRule="auto"/>
        <w:rPr>
          <w:szCs w:val="24"/>
        </w:rPr>
      </w:pPr>
      <w:r>
        <w:rPr>
          <w:szCs w:val="24"/>
        </w:rPr>
        <w:t xml:space="preserve">Explain the reason for absence. In some cases, documentation may be required.  Please </w:t>
      </w:r>
      <w:hyperlink r:id="rId16" w:anchor="text" w:history="1">
        <w:r>
          <w:rPr>
            <w:rStyle w:val="Hyperlink"/>
            <w:szCs w:val="24"/>
          </w:rPr>
          <w:t>consult the policy</w:t>
        </w:r>
      </w:hyperlink>
      <w:r w:rsidR="004030AC">
        <w:rPr>
          <w:rStyle w:val="Hyperlink"/>
          <w:szCs w:val="24"/>
        </w:rPr>
        <w:t xml:space="preserve"> </w:t>
      </w:r>
      <w:r w:rsidR="004030AC">
        <w:t>(</w:t>
      </w:r>
      <w:r w:rsidR="00E44518" w:rsidRPr="00E44518">
        <w:rPr>
          <w:szCs w:val="24"/>
        </w:rPr>
        <w:t>https://academicbulletins.sc.edu/undergraduate/policies-regulations/undergraduate-academic-regulations</w:t>
      </w:r>
      <w:r w:rsidR="00E44518">
        <w:rPr>
          <w:szCs w:val="24"/>
        </w:rPr>
        <w:t xml:space="preserve">) </w:t>
      </w:r>
      <w:r>
        <w:rPr>
          <w:szCs w:val="24"/>
        </w:rPr>
        <w:t>for additional information.</w:t>
      </w:r>
    </w:p>
    <w:p w14:paraId="01CC7EE7" w14:textId="77777777" w:rsidR="00361684" w:rsidRDefault="00361684" w:rsidP="00361684">
      <w:pPr>
        <w:pStyle w:val="ListParagraph"/>
        <w:numPr>
          <w:ilvl w:val="0"/>
          <w:numId w:val="38"/>
        </w:numPr>
        <w:tabs>
          <w:tab w:val="clear" w:pos="0"/>
        </w:tabs>
        <w:autoSpaceDE/>
        <w:autoSpaceDN/>
        <w:adjustRightInd/>
        <w:spacing w:after="160" w:line="256" w:lineRule="auto"/>
        <w:rPr>
          <w:szCs w:val="24"/>
        </w:rPr>
      </w:pPr>
      <w:r>
        <w:rPr>
          <w:szCs w:val="24"/>
        </w:rPr>
        <w:t>Include any request for make-up work.</w:t>
      </w:r>
    </w:p>
    <w:p w14:paraId="1D2D258F" w14:textId="77777777" w:rsidR="00361684" w:rsidRDefault="00361684" w:rsidP="00361684">
      <w:r>
        <w:t>To arrange excuses for absences that cannot be anticipated at the start of the term, (e.g. legal proceedings or illness), you should, at the first opportunity, submit in writing a request stating:</w:t>
      </w:r>
    </w:p>
    <w:p w14:paraId="680696EC" w14:textId="77777777" w:rsidR="00361684" w:rsidRDefault="00361684" w:rsidP="00361684">
      <w:pPr>
        <w:pStyle w:val="ListParagraph"/>
        <w:numPr>
          <w:ilvl w:val="0"/>
          <w:numId w:val="39"/>
        </w:numPr>
        <w:tabs>
          <w:tab w:val="clear" w:pos="0"/>
        </w:tabs>
        <w:autoSpaceDE/>
        <w:autoSpaceDN/>
        <w:adjustRightInd/>
        <w:spacing w:after="160" w:line="256" w:lineRule="auto"/>
        <w:rPr>
          <w:szCs w:val="24"/>
        </w:rPr>
      </w:pPr>
      <w:r>
        <w:rPr>
          <w:szCs w:val="24"/>
        </w:rPr>
        <w:t>The date of absence</w:t>
      </w:r>
    </w:p>
    <w:p w14:paraId="5FD8C083" w14:textId="77777777" w:rsidR="00361684" w:rsidRDefault="00361684" w:rsidP="00361684">
      <w:pPr>
        <w:pStyle w:val="ListParagraph"/>
        <w:numPr>
          <w:ilvl w:val="0"/>
          <w:numId w:val="39"/>
        </w:numPr>
        <w:tabs>
          <w:tab w:val="clear" w:pos="0"/>
        </w:tabs>
        <w:autoSpaceDE/>
        <w:autoSpaceDN/>
        <w:adjustRightInd/>
        <w:spacing w:after="160" w:line="256" w:lineRule="auto"/>
        <w:rPr>
          <w:szCs w:val="24"/>
        </w:rPr>
      </w:pPr>
      <w:r>
        <w:rPr>
          <w:szCs w:val="24"/>
        </w:rPr>
        <w:t xml:space="preserve">The reason for absence.  In some cases, documentation may be required.  Please </w:t>
      </w:r>
      <w:hyperlink r:id="rId17" w:anchor="text" w:history="1">
        <w:r>
          <w:rPr>
            <w:rStyle w:val="Hyperlink"/>
            <w:szCs w:val="24"/>
          </w:rPr>
          <w:t>consult the policy</w:t>
        </w:r>
      </w:hyperlink>
      <w:r>
        <w:rPr>
          <w:szCs w:val="24"/>
        </w:rPr>
        <w:t xml:space="preserve"> for additional information.</w:t>
      </w:r>
    </w:p>
    <w:p w14:paraId="195E4732" w14:textId="77777777" w:rsidR="00361684" w:rsidRDefault="00361684" w:rsidP="00361684">
      <w:pPr>
        <w:pStyle w:val="ListParagraph"/>
        <w:numPr>
          <w:ilvl w:val="0"/>
          <w:numId w:val="39"/>
        </w:numPr>
        <w:tabs>
          <w:tab w:val="clear" w:pos="0"/>
        </w:tabs>
        <w:autoSpaceDE/>
        <w:autoSpaceDN/>
        <w:adjustRightInd/>
        <w:spacing w:after="160" w:line="256" w:lineRule="auto"/>
        <w:rPr>
          <w:szCs w:val="24"/>
        </w:rPr>
      </w:pPr>
      <w:r>
        <w:rPr>
          <w:szCs w:val="24"/>
        </w:rPr>
        <w:t>Any request for make-up work as soon as reasonably possible after you become aware of the need to be absent.</w:t>
      </w:r>
    </w:p>
    <w:p w14:paraId="50DE0854" w14:textId="77777777" w:rsidR="00361684" w:rsidRDefault="00361684" w:rsidP="00361684">
      <w:r>
        <w:t>Since this course meets three times a week for 50 minutes, you are allowed two unexcused absences.  Your grade will be lowered by one letter for each unexcused absence after two unexcused absences.</w:t>
      </w:r>
    </w:p>
    <w:p w14:paraId="6DC7535C" w14:textId="77777777" w:rsidR="00350BF7" w:rsidRDefault="00350BF7" w:rsidP="006D2DCB"/>
    <w:p w14:paraId="2D0CB6BE" w14:textId="3E1B2E06" w:rsidR="00135468" w:rsidRPr="003F48FF" w:rsidRDefault="00135468" w:rsidP="00135468">
      <w:pPr>
        <w:pStyle w:val="Heading3"/>
        <w:rPr>
          <w:color w:val="auto"/>
        </w:rPr>
      </w:pPr>
      <w:r w:rsidRPr="003F48FF">
        <w:rPr>
          <w:color w:val="auto"/>
        </w:rPr>
        <w:lastRenderedPageBreak/>
        <w:t>Academic Integrity</w:t>
      </w:r>
    </w:p>
    <w:p w14:paraId="62A7B88C" w14:textId="77777777" w:rsidR="00350BF7" w:rsidRDefault="00350BF7" w:rsidP="00350BF7">
      <w:pPr>
        <w:shd w:val="clear" w:color="auto" w:fill="FFFFFF"/>
        <w:tabs>
          <w:tab w:val="clear" w:pos="0"/>
        </w:tabs>
        <w:autoSpaceDE/>
        <w:autoSpaceDN/>
        <w:adjustRightInd/>
      </w:pPr>
    </w:p>
    <w:p w14:paraId="74BBB0A1" w14:textId="77777777" w:rsidR="007112FB" w:rsidRDefault="007112FB" w:rsidP="007112FB">
      <w:r>
        <w:t xml:space="preserve">[**Please tailor this statement to the specific objectives of your course/college and the goals of your profession.  The hope of the Office of Academic Integrity (OAI) is for courses to spark intellectual curiosity and promote critical thinking, and the customization of this statement can reflect that in your own words.] </w:t>
      </w:r>
    </w:p>
    <w:p w14:paraId="5F7401EE" w14:textId="77777777" w:rsidR="007112FB" w:rsidRDefault="007112FB" w:rsidP="007112FB">
      <w:r>
        <w:t xml:space="preserve"> </w:t>
      </w:r>
    </w:p>
    <w:p w14:paraId="007AE19B" w14:textId="77777777" w:rsidR="007112FB" w:rsidRDefault="007112FB" w:rsidP="007112FB">
      <w:r>
        <w:t xml:space="preserve">As a partner in your learning, it is important to both of us that any assignment submission is a pure reflection of your work and understanding.  The introduction of artificial intelligence options to complete academic work jeopardizes my ability to evaluate your understanding of our course content and robs you of the ability to master the subject matter.   </w:t>
      </w:r>
    </w:p>
    <w:p w14:paraId="052D9822" w14:textId="77777777" w:rsidR="007112FB" w:rsidRDefault="007112FB" w:rsidP="007112FB">
      <w:r>
        <w:t xml:space="preserve"> </w:t>
      </w:r>
    </w:p>
    <w:p w14:paraId="4131F2E5" w14:textId="77777777" w:rsidR="007112FB" w:rsidRDefault="007112FB" w:rsidP="007112FB">
      <w:r>
        <w:t>Suspicions of use of artificial intelligence aids will be referred to the Office of Academic Integrity as alleged violations of Cheating, defined as “unauthorized assistance in connection with any academic work” and/or Falsification, which includes “Misrepresenting or misleading others with respect to academic work or misrepresenting facts for an academic advantage”.</w:t>
      </w:r>
    </w:p>
    <w:p w14:paraId="46C0FD21" w14:textId="77777777" w:rsidR="007112FB" w:rsidRDefault="007112FB" w:rsidP="00350BF7">
      <w:pPr>
        <w:shd w:val="clear" w:color="auto" w:fill="FFFFFF"/>
        <w:tabs>
          <w:tab w:val="clear" w:pos="0"/>
        </w:tabs>
        <w:autoSpaceDE/>
        <w:autoSpaceDN/>
        <w:adjustRightInd/>
      </w:pPr>
    </w:p>
    <w:p w14:paraId="51BB87D8" w14:textId="1F95894C" w:rsidR="00350BF7" w:rsidRPr="00350BF7" w:rsidRDefault="00350BF7" w:rsidP="00350BF7">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Below are some websites for you to visit to learn more about University policies:</w:t>
      </w:r>
    </w:p>
    <w:p w14:paraId="00FEC951" w14:textId="77777777" w:rsidR="00350BF7" w:rsidRDefault="00350BF7" w:rsidP="00135468"/>
    <w:bookmarkStart w:id="1" w:name="_Hlk74031084"/>
    <w:p w14:paraId="6435FD99" w14:textId="77777777" w:rsidR="00863E5C" w:rsidRPr="00135468" w:rsidRDefault="00863E5C" w:rsidP="00863E5C">
      <w:pPr>
        <w:pStyle w:val="ListParagraph"/>
        <w:numPr>
          <w:ilvl w:val="0"/>
          <w:numId w:val="40"/>
        </w:numPr>
        <w:rPr>
          <w:rStyle w:val="Hyperlink"/>
        </w:rPr>
      </w:pPr>
      <w:r>
        <w:fldChar w:fldCharType="begin"/>
      </w:r>
      <w:r>
        <w:instrText xml:space="preserve"> HYPERLINK "https://sc.edu/about/offices_and_divisions/student_affairs/our_initiatives/involvement_and_leadership/carolinian_creed/index.php" </w:instrText>
      </w:r>
      <w:r>
        <w:fldChar w:fldCharType="separate"/>
      </w:r>
      <w:r w:rsidRPr="002E4BA4">
        <w:rPr>
          <w:rStyle w:val="Hyperlink"/>
        </w:rPr>
        <w:t>Carolinian Creed</w:t>
      </w:r>
      <w:r>
        <w:rPr>
          <w:rStyle w:val="Hyperlink"/>
        </w:rPr>
        <w:fldChar w:fldCharType="end"/>
      </w:r>
      <w:r w:rsidRPr="002E4BA4">
        <w:t xml:space="preserve"> (http://www.sa.sc.edu/creed)</w:t>
      </w:r>
    </w:p>
    <w:p w14:paraId="064EB6B8" w14:textId="77777777" w:rsidR="00863E5C" w:rsidRPr="00135468" w:rsidRDefault="00000000" w:rsidP="00863E5C">
      <w:pPr>
        <w:pStyle w:val="ListParagraph"/>
        <w:numPr>
          <w:ilvl w:val="0"/>
          <w:numId w:val="40"/>
        </w:numPr>
        <w:rPr>
          <w:rStyle w:val="Hyperlink"/>
        </w:rPr>
      </w:pPr>
      <w:hyperlink r:id="rId18" w:history="1">
        <w:r w:rsidR="00863E5C" w:rsidRPr="002E4BA4">
          <w:rPr>
            <w:rStyle w:val="Hyperlink"/>
          </w:rPr>
          <w:t>Academic Responsibility</w:t>
        </w:r>
      </w:hyperlink>
      <w:r w:rsidR="00863E5C" w:rsidRPr="002E4BA4">
        <w:t xml:space="preserve"> (http://www.sc.edu/policies/staf625.pdf)</w:t>
      </w:r>
    </w:p>
    <w:p w14:paraId="14C4660C" w14:textId="77777777" w:rsidR="00863E5C" w:rsidRPr="00135468" w:rsidRDefault="00000000" w:rsidP="00863E5C">
      <w:pPr>
        <w:pStyle w:val="ListParagraph"/>
        <w:numPr>
          <w:ilvl w:val="0"/>
          <w:numId w:val="40"/>
        </w:numPr>
        <w:rPr>
          <w:rStyle w:val="Hyperlink"/>
        </w:rPr>
      </w:pPr>
      <w:hyperlink r:id="rId19" w:history="1">
        <w:r w:rsidR="00863E5C" w:rsidRPr="002E4BA4">
          <w:rPr>
            <w:rStyle w:val="Hyperlink"/>
          </w:rPr>
          <w:t>Office of Student Conduct and Academic Integrity</w:t>
        </w:r>
      </w:hyperlink>
      <w:r w:rsidR="00863E5C" w:rsidRPr="002E4BA4">
        <w:t xml:space="preserve"> (https://www.sa.sc.edu/academicintegrity/)</w:t>
      </w:r>
    </w:p>
    <w:p w14:paraId="5E062677" w14:textId="3B0BE206" w:rsidR="00135468" w:rsidRDefault="00000000" w:rsidP="003B7DCB">
      <w:pPr>
        <w:pStyle w:val="ListParagraph"/>
        <w:numPr>
          <w:ilvl w:val="0"/>
          <w:numId w:val="40"/>
        </w:numPr>
      </w:pPr>
      <w:hyperlink r:id="rId20" w:history="1">
        <w:r w:rsidR="00863E5C" w:rsidRPr="002E4BA4">
          <w:rPr>
            <w:rStyle w:val="Hyperlink"/>
          </w:rPr>
          <w:t>Information Security Policy and Standards</w:t>
        </w:r>
      </w:hyperlink>
      <w:r w:rsidR="00863E5C" w:rsidRPr="002E4BA4">
        <w:t xml:space="preserve"> (</w:t>
      </w:r>
      <w:hyperlink r:id="rId21" w:history="1">
        <w:r w:rsidR="007112FB" w:rsidRPr="00920F38">
          <w:rPr>
            <w:rStyle w:val="Hyperlink"/>
          </w:rPr>
          <w:t>https://sc.edu/about/offices_and_divisions/division_of_information_technology/security/policy/universitypolicy/</w:t>
        </w:r>
      </w:hyperlink>
      <w:r w:rsidR="00863E5C" w:rsidRPr="002E4BA4">
        <w:t>)</w:t>
      </w:r>
    </w:p>
    <w:bookmarkEnd w:id="1"/>
    <w:p w14:paraId="3F9EA67C" w14:textId="5544135D" w:rsidR="004006B0" w:rsidRDefault="004006B0" w:rsidP="00C07F2E">
      <w:pPr>
        <w:pStyle w:val="Heading2"/>
      </w:pPr>
      <w:r>
        <w:t>Disability Services</w:t>
      </w:r>
    </w:p>
    <w:p w14:paraId="248D2152" w14:textId="77777777" w:rsidR="004006B0" w:rsidRDefault="004006B0" w:rsidP="00045821"/>
    <w:p w14:paraId="754E8634" w14:textId="66389408" w:rsidR="003714A8" w:rsidRDefault="00000000" w:rsidP="00E5498C">
      <w:hyperlink r:id="rId22" w:history="1">
        <w:r w:rsidR="00863E5C" w:rsidRPr="008504D0">
          <w:rPr>
            <w:rStyle w:val="Hyperlink"/>
            <w:rFonts w:eastAsia="Calibri"/>
            <w:szCs w:val="22"/>
            <w:lang w:eastAsia="en-US"/>
          </w:rPr>
          <w:t>Student Disability Resource Center</w:t>
        </w:r>
      </w:hyperlink>
      <w:r w:rsidR="00863E5C" w:rsidRPr="008504D0">
        <w:rPr>
          <w:rFonts w:eastAsia="Calibri"/>
          <w:szCs w:val="22"/>
          <w:lang w:eastAsia="en-US"/>
        </w:rPr>
        <w:t xml:space="preserve"> (http://www.sa.sc.edu/sds/)</w:t>
      </w:r>
      <w:r w:rsidR="00863E5C" w:rsidRPr="004006B0">
        <w:t>: The Student Disability Resource Center </w:t>
      </w:r>
      <w:r w:rsidR="00863E5C">
        <w:t xml:space="preserve">(SDRC) </w:t>
      </w:r>
      <w:r w:rsidR="00863E5C" w:rsidRPr="004006B0">
        <w:t>empowers students to manage challenges and limitations imposed by disabilities. </w:t>
      </w:r>
      <w:r w:rsidR="00863E5C" w:rsidRPr="003F48FF">
        <w:t xml:space="preserve">Students with disabilities are encouraged to contact </w:t>
      </w:r>
      <w:r w:rsidR="00863E5C">
        <w:t>me</w:t>
      </w:r>
      <w:r w:rsidR="00863E5C" w:rsidRPr="003F48FF">
        <w:t xml:space="preserve"> to discuss the logistics of any accommodations needed to fulfill course requirements (within the first week of the semester). In order to receive reasonable accommodations </w:t>
      </w:r>
      <w:r w:rsidR="00863E5C" w:rsidRPr="003F48FF">
        <w:lastRenderedPageBreak/>
        <w:t xml:space="preserve">from </w:t>
      </w:r>
      <w:r w:rsidR="00863E5C">
        <w:t>me</w:t>
      </w:r>
      <w:r w:rsidR="00863E5C" w:rsidRPr="003F48FF">
        <w:t xml:space="preserve">, </w:t>
      </w:r>
      <w:r w:rsidR="00863E5C">
        <w:t>you</w:t>
      </w:r>
      <w:r w:rsidR="00863E5C" w:rsidRPr="003F48FF">
        <w:t xml:space="preserve"> must be registered with the Student Disability Resource Center (</w:t>
      </w:r>
      <w:r w:rsidR="00863E5C" w:rsidRPr="00632773">
        <w:t>1705 College Street, Close-Hipp Suite 102, Columbia, SC 29208</w:t>
      </w:r>
      <w:r w:rsidR="00863E5C" w:rsidRPr="003F48FF">
        <w:t xml:space="preserve">, 803-777-6142). Any student with a documented disability should contact the </w:t>
      </w:r>
      <w:r w:rsidR="00863E5C">
        <w:t>SDRC to</w:t>
      </w:r>
      <w:r w:rsidR="00863E5C" w:rsidRPr="003F48FF">
        <w:t xml:space="preserve"> </w:t>
      </w:r>
      <w:proofErr w:type="gramStart"/>
      <w:r w:rsidR="00863E5C" w:rsidRPr="003F48FF">
        <w:t>make arrangements</w:t>
      </w:r>
      <w:proofErr w:type="gramEnd"/>
      <w:r w:rsidR="00863E5C" w:rsidRPr="003F48FF">
        <w:t xml:space="preserve"> for appropriate accommodations.</w:t>
      </w:r>
    </w:p>
    <w:p w14:paraId="55341197" w14:textId="77777777" w:rsidR="003C3645" w:rsidRDefault="003C3645" w:rsidP="00E5498C"/>
    <w:p w14:paraId="1F7AEC14" w14:textId="77777777" w:rsidR="003C3645" w:rsidRPr="003C3645" w:rsidRDefault="003C3645" w:rsidP="003C3645">
      <w:pPr>
        <w:pStyle w:val="Heading3"/>
        <w:rPr>
          <w:rFonts w:eastAsia="Batang"/>
          <w:sz w:val="28"/>
          <w:szCs w:val="28"/>
        </w:rPr>
      </w:pPr>
      <w:r w:rsidRPr="003C3645">
        <w:rPr>
          <w:rFonts w:eastAsia="Batang"/>
          <w:sz w:val="28"/>
          <w:szCs w:val="28"/>
        </w:rPr>
        <w:t>Mental Health</w:t>
      </w:r>
    </w:p>
    <w:p w14:paraId="49BF6B38" w14:textId="77777777" w:rsidR="003C3645" w:rsidRDefault="003C3645" w:rsidP="003C3645">
      <w:pPr>
        <w:pStyle w:val="xxmsonormal"/>
        <w:spacing w:before="100" w:beforeAutospacing="1" w:after="100" w:afterAutospacing="1"/>
        <w:rPr>
          <w:rFonts w:ascii="Arial" w:hAnsi="Arial" w:cs="Arial"/>
          <w:sz w:val="24"/>
          <w:szCs w:val="24"/>
        </w:rPr>
      </w:pPr>
      <w:r>
        <w:rPr>
          <w:rFonts w:ascii="Arial" w:hAnsi="Arial" w:cs="Arial"/>
          <w:sz w:val="24"/>
          <w:szCs w:val="24"/>
        </w:rPr>
        <w:t xml:space="preserve">If stress is impacting you or getting in the way of your ability to do your schoolwork, maintain relationships, eat, sleep, or enjoy yourself, please reach out to any of our mental health resources.  </w:t>
      </w:r>
      <w:r>
        <w:rPr>
          <w:rStyle w:val="xxxcontentpasted0"/>
          <w:rFonts w:ascii="Arial" w:hAnsi="Arial" w:cs="Arial"/>
          <w:color w:val="000000"/>
          <w:sz w:val="24"/>
          <w:szCs w:val="24"/>
        </w:rPr>
        <w:t>Most of these services are offered at no cost as they are covered by the Student Health Services tuition fee.  For all available mental health resources, check out </w:t>
      </w:r>
      <w:hyperlink r:id="rId23" w:tooltip="https://www.sc.edu/about/offices_and_divisions/health_services/mental-health/index.php" w:history="1">
        <w:r>
          <w:rPr>
            <w:rStyle w:val="Hyperlink"/>
            <w:rFonts w:ascii="Arial" w:hAnsi="Arial" w:cs="Arial"/>
            <w:sz w:val="24"/>
            <w:szCs w:val="24"/>
          </w:rPr>
          <w:t>Student Health Services Mental Health</w:t>
        </w:r>
      </w:hyperlink>
      <w:r>
        <w:rPr>
          <w:rFonts w:ascii="Arial" w:hAnsi="Arial" w:cs="Arial"/>
          <w:sz w:val="24"/>
          <w:szCs w:val="24"/>
        </w:rPr>
        <w:t xml:space="preserve"> (https://www.sc.edu/about/offices_and_divisions/health_services/mental-health/index.php) and the quick reference list below</w:t>
      </w:r>
      <w:r>
        <w:rPr>
          <w:rStyle w:val="xxxcontentpasted0"/>
          <w:rFonts w:ascii="Arial" w:hAnsi="Arial" w:cs="Arial"/>
          <w:sz w:val="24"/>
          <w:szCs w:val="24"/>
        </w:rPr>
        <w:t>.</w:t>
      </w:r>
      <w:r>
        <w:rPr>
          <w:rFonts w:ascii="Arial" w:hAnsi="Arial" w:cs="Arial"/>
          <w:sz w:val="24"/>
          <w:szCs w:val="24"/>
        </w:rPr>
        <w:t> </w:t>
      </w:r>
    </w:p>
    <w:p w14:paraId="4F8126C6" w14:textId="77777777" w:rsidR="003C3645" w:rsidRDefault="003C3645" w:rsidP="003C3645">
      <w:pPr>
        <w:pStyle w:val="xmsolistparagraph"/>
        <w:numPr>
          <w:ilvl w:val="0"/>
          <w:numId w:val="41"/>
        </w:numPr>
        <w:spacing w:before="100" w:beforeAutospacing="1" w:after="100" w:afterAutospacing="1"/>
        <w:ind w:left="1080"/>
        <w:rPr>
          <w:rFonts w:ascii="Arial" w:hAnsi="Arial" w:cs="Arial"/>
          <w:sz w:val="24"/>
          <w:szCs w:val="24"/>
        </w:rPr>
      </w:pPr>
      <w:r>
        <w:rPr>
          <w:rStyle w:val="xxxcontentpasted0"/>
          <w:rFonts w:ascii="Arial" w:hAnsi="Arial" w:cs="Arial"/>
          <w:color w:val="000000"/>
          <w:sz w:val="24"/>
          <w:szCs w:val="24"/>
        </w:rPr>
        <w:t>Wellness Coaching can help you improve in areas related to emotional and physical wellbeing (e.g., sleep, resiliency, balanced eating and more) – schedule an appointment at (803) 777-6518 or on </w:t>
      </w:r>
      <w:hyperlink r:id="rId24" w:tgtFrame="_blank" w:tooltip="MyHealthSpace" w:history="1">
        <w:r w:rsidRPr="00A5152F">
          <w:rPr>
            <w:rStyle w:val="Hyperlink"/>
            <w:rFonts w:ascii="Arial" w:hAnsi="Arial" w:cs="Arial"/>
            <w:sz w:val="24"/>
            <w:szCs w:val="24"/>
          </w:rPr>
          <w:t>MyHealthSpace</w:t>
        </w:r>
      </w:hyperlink>
      <w:r>
        <w:rPr>
          <w:rStyle w:val="xxxcontentpasted0"/>
          <w:rFonts w:ascii="Arial" w:hAnsi="Arial" w:cs="Arial"/>
          <w:color w:val="000000"/>
          <w:sz w:val="24"/>
          <w:szCs w:val="24"/>
        </w:rPr>
        <w:t xml:space="preserve"> (https://myhealthspace.ushs.sc.edu/login_dualauthentication.aspx)</w:t>
      </w:r>
    </w:p>
    <w:p w14:paraId="28B95532" w14:textId="77777777" w:rsidR="003C3645" w:rsidRDefault="003C3645" w:rsidP="003C3645">
      <w:pPr>
        <w:numPr>
          <w:ilvl w:val="0"/>
          <w:numId w:val="41"/>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virtual self-help modules via </w:t>
      </w:r>
      <w:hyperlink r:id="rId25" w:history="1">
        <w:r>
          <w:rPr>
            <w:rStyle w:val="Hyperlink"/>
          </w:rPr>
          <w:t>Therapy Assistance Online (TAO)</w:t>
        </w:r>
      </w:hyperlink>
      <w:r>
        <w:rPr>
          <w:rStyle w:val="xxxcontentpasted0"/>
          <w:color w:val="000000"/>
        </w:rPr>
        <w:t xml:space="preserve"> (https://us.taoconnect.org/register)</w:t>
      </w:r>
      <w:r>
        <w:rPr>
          <w:rStyle w:val="xxxcontentpasted0"/>
          <w:b/>
          <w:bCs/>
          <w:color w:val="000000"/>
        </w:rPr>
        <w:t xml:space="preserve"> – </w:t>
      </w:r>
      <w:r>
        <w:rPr>
          <w:rStyle w:val="xxxcontentpasted0"/>
          <w:color w:val="000000"/>
        </w:rPr>
        <w:t xml:space="preserve">see </w:t>
      </w:r>
      <w:hyperlink r:id="rId26" w:history="1">
        <w:r>
          <w:rPr>
            <w:rStyle w:val="Hyperlink"/>
          </w:rPr>
          <w:t>TAO registration instructions</w:t>
        </w:r>
      </w:hyperlink>
      <w:r>
        <w:rPr>
          <w:rStyle w:val="xxxcontentpasted0"/>
          <w:color w:val="000000"/>
        </w:rPr>
        <w:t xml:space="preserve"> (https://www.sc.edu/about/offices_and_divisions/health_services/medical-services/counseling-and-psychiatry/online-support/index.php).</w:t>
      </w:r>
    </w:p>
    <w:p w14:paraId="69061BC7" w14:textId="77777777" w:rsidR="003C3645" w:rsidRDefault="003C3645" w:rsidP="003C3645">
      <w:pPr>
        <w:numPr>
          <w:ilvl w:val="0"/>
          <w:numId w:val="41"/>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additional articles and videos on health and wellness topics on the Wellness Hub, </w:t>
      </w:r>
      <w:hyperlink r:id="rId27" w:history="1">
        <w:r>
          <w:rPr>
            <w:rStyle w:val="Hyperlink"/>
          </w:rPr>
          <w:t>thriveatcarolina.com</w:t>
        </w:r>
      </w:hyperlink>
      <w:r>
        <w:rPr>
          <w:rStyle w:val="xxxcontentpasted0"/>
          <w:color w:val="000000"/>
        </w:rPr>
        <w:t xml:space="preserve">, or by downloading the </w:t>
      </w:r>
      <w:hyperlink r:id="rId28" w:history="1">
        <w:r>
          <w:rPr>
            <w:rStyle w:val="Hyperlink"/>
          </w:rPr>
          <w:t>CampusWell</w:t>
        </w:r>
      </w:hyperlink>
      <w:r>
        <w:rPr>
          <w:rStyle w:val="xxxcontentpasted0"/>
          <w:color w:val="000000"/>
        </w:rPr>
        <w:t xml:space="preserve"> (https://www.campuswell.com/) app and searching for University of South Carolina.</w:t>
      </w:r>
    </w:p>
    <w:p w14:paraId="2A649F79" w14:textId="77777777" w:rsidR="003C3645" w:rsidRDefault="003C3645" w:rsidP="003C3645">
      <w:pPr>
        <w:numPr>
          <w:ilvl w:val="0"/>
          <w:numId w:val="41"/>
        </w:numPr>
        <w:shd w:val="clear" w:color="auto" w:fill="FFFFFF"/>
        <w:tabs>
          <w:tab w:val="clear" w:pos="0"/>
        </w:tabs>
        <w:autoSpaceDE/>
        <w:adjustRightInd/>
        <w:spacing w:before="100" w:beforeAutospacing="1" w:after="100" w:afterAutospacing="1"/>
        <w:ind w:left="1080"/>
      </w:pPr>
      <w:r>
        <w:rPr>
          <w:rStyle w:val="xxxcontentpasted0"/>
          <w:color w:val="000000"/>
        </w:rPr>
        <w:t>Counseling &amp; Psychiatry offers individual and group counseling and psychiatric services – schedule an appointment at (803) 777-5223 or on </w:t>
      </w:r>
      <w:hyperlink r:id="rId29" w:tgtFrame="_blank" w:tooltip="MyHealthSpace" w:history="1">
        <w:r>
          <w:rPr>
            <w:rStyle w:val="Hyperlink"/>
          </w:rPr>
          <w:t>MyHealthSpace</w:t>
        </w:r>
      </w:hyperlink>
      <w:r>
        <w:rPr>
          <w:rStyle w:val="Hyperlink"/>
        </w:rPr>
        <w:t xml:space="preserve"> </w:t>
      </w:r>
      <w:r>
        <w:rPr>
          <w:rStyle w:val="xxxcontentpasted0"/>
          <w:color w:val="000000"/>
        </w:rPr>
        <w:t>(https://myhealthspace.ushs.sc.edu/login_dualauthentication.aspx).</w:t>
      </w:r>
    </w:p>
    <w:p w14:paraId="7146BA4C" w14:textId="77777777" w:rsidR="003C3645" w:rsidRDefault="003C3645" w:rsidP="003C3645">
      <w:pPr>
        <w:numPr>
          <w:ilvl w:val="0"/>
          <w:numId w:val="41"/>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the 24-hr Mental Health Support Line at </w:t>
      </w:r>
      <w:r>
        <w:rPr>
          <w:rStyle w:val="xxxcontentpasted1"/>
          <w:color w:val="000000"/>
        </w:rPr>
        <w:t>(833) 664-2854.</w:t>
      </w:r>
    </w:p>
    <w:p w14:paraId="2393F324" w14:textId="5403F9C4" w:rsidR="00E5498C" w:rsidRDefault="003C3645" w:rsidP="00E5498C">
      <w:pPr>
        <w:numPr>
          <w:ilvl w:val="0"/>
          <w:numId w:val="41"/>
        </w:numPr>
        <w:shd w:val="clear" w:color="auto" w:fill="FFFFFF"/>
        <w:tabs>
          <w:tab w:val="clear" w:pos="0"/>
        </w:tabs>
        <w:autoSpaceDE/>
        <w:adjustRightInd/>
        <w:spacing w:before="100" w:beforeAutospacing="1" w:after="100" w:afterAutospacing="1"/>
        <w:ind w:left="1080"/>
      </w:pPr>
      <w:r w:rsidRPr="004B0FF9">
        <w:rPr>
          <w:rStyle w:val="xxxcontentpasted1"/>
          <w:color w:val="000000"/>
        </w:rPr>
        <w:t xml:space="preserve">Access an anonymous </w:t>
      </w:r>
      <w:hyperlink r:id="rId30" w:history="1">
        <w:r>
          <w:rPr>
            <w:rStyle w:val="Hyperlink"/>
          </w:rPr>
          <w:t>mental health screening program</w:t>
        </w:r>
      </w:hyperlink>
      <w:r w:rsidRPr="004B0FF9">
        <w:rPr>
          <w:rStyle w:val="xxxcontentpasted1"/>
          <w:color w:val="000000"/>
        </w:rPr>
        <w:t xml:space="preserve"> (https://www.uscscreening.org/welcome.cfm?access=website)</w:t>
      </w:r>
    </w:p>
    <w:p w14:paraId="661CDDA4" w14:textId="63BB4882" w:rsidR="007B7359" w:rsidRDefault="002A6D0D" w:rsidP="007B7359">
      <w:pPr>
        <w:pStyle w:val="Heading2"/>
      </w:pPr>
      <w:r>
        <w:t>Course</w:t>
      </w:r>
      <w:r w:rsidR="007B7359">
        <w:t xml:space="preserve"> Schedule</w:t>
      </w:r>
    </w:p>
    <w:p w14:paraId="192AAA92" w14:textId="77777777" w:rsidR="007B7359" w:rsidRDefault="007B7359" w:rsidP="007B7359"/>
    <w:p w14:paraId="0EEB6CB1" w14:textId="2EB4358D" w:rsidR="00747D6B" w:rsidRDefault="03D07FE8" w:rsidP="007B7359">
      <w:r>
        <w:t xml:space="preserve">[Insert your weekly schedule below.  The schedule below is structured for a Fall semester. </w:t>
      </w:r>
      <w:r w:rsidR="00B153B5" w:rsidRPr="00B153B5">
        <w:t xml:space="preserve">Refer to the </w:t>
      </w:r>
      <w:hyperlink r:id="rId31" w:history="1">
        <w:r w:rsidR="00EC4C4D" w:rsidRPr="00863E5C">
          <w:rPr>
            <w:rStyle w:val="Hyperlink"/>
          </w:rPr>
          <w:t>CTE’s Course Templates page</w:t>
        </w:r>
      </w:hyperlink>
      <w:r w:rsidR="00EC4C4D" w:rsidRPr="00863E5C">
        <w:t xml:space="preserve"> (https://sc.edu/about/offices_and_divisions/cte/teaching_resources/syllabus_templates/index.php)</w:t>
      </w:r>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lastRenderedPageBreak/>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lastRenderedPageBreak/>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BA4F6E" w:rsidRDefault="0091591B" w:rsidP="00C07F2E">
      <w:pPr>
        <w:rPr>
          <w:sz w:val="2"/>
          <w:szCs w:val="2"/>
        </w:rPr>
      </w:pPr>
    </w:p>
    <w:sectPr w:rsidR="0091591B" w:rsidRPr="00BA4F6E" w:rsidSect="00B678E6">
      <w:headerReference w:type="default" r:id="rId3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AFAD" w14:textId="77777777" w:rsidR="00514876" w:rsidRDefault="00514876" w:rsidP="003D6EB2">
      <w:r>
        <w:separator/>
      </w:r>
    </w:p>
  </w:endnote>
  <w:endnote w:type="continuationSeparator" w:id="0">
    <w:p w14:paraId="6120E6E2" w14:textId="77777777" w:rsidR="00514876" w:rsidRDefault="00514876"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A461" w14:textId="77777777" w:rsidR="00514876" w:rsidRDefault="00514876" w:rsidP="003D6EB2">
      <w:r>
        <w:separator/>
      </w:r>
    </w:p>
  </w:footnote>
  <w:footnote w:type="continuationSeparator" w:id="0">
    <w:p w14:paraId="509C72F0" w14:textId="77777777" w:rsidR="00514876" w:rsidRDefault="00514876"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293400"/>
      <w:docPartObj>
        <w:docPartGallery w:val="Page Numbers (Top of Page)"/>
        <w:docPartUnique/>
      </w:docPartObj>
    </w:sdtPr>
    <w:sdtEndPr>
      <w:rPr>
        <w:noProof/>
      </w:rPr>
    </w:sdtEndPr>
    <w:sdtContent>
      <w:p w14:paraId="4A2ACEDE" w14:textId="5AB89493" w:rsidR="006F7600" w:rsidRDefault="006F76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F0439"/>
    <w:multiLevelType w:val="multilevel"/>
    <w:tmpl w:val="5CB6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901757">
    <w:abstractNumId w:val="39"/>
  </w:num>
  <w:num w:numId="2" w16cid:durableId="721440629">
    <w:abstractNumId w:val="19"/>
  </w:num>
  <w:num w:numId="3" w16cid:durableId="2107991565">
    <w:abstractNumId w:val="2"/>
  </w:num>
  <w:num w:numId="4" w16cid:durableId="594752865">
    <w:abstractNumId w:val="23"/>
  </w:num>
  <w:num w:numId="5" w16cid:durableId="75131999">
    <w:abstractNumId w:val="13"/>
  </w:num>
  <w:num w:numId="6" w16cid:durableId="904873926">
    <w:abstractNumId w:val="30"/>
  </w:num>
  <w:num w:numId="7" w16cid:durableId="211960926">
    <w:abstractNumId w:val="33"/>
  </w:num>
  <w:num w:numId="8" w16cid:durableId="687409572">
    <w:abstractNumId w:val="14"/>
  </w:num>
  <w:num w:numId="9" w16cid:durableId="2013677426">
    <w:abstractNumId w:val="6"/>
  </w:num>
  <w:num w:numId="10" w16cid:durableId="352265969">
    <w:abstractNumId w:val="35"/>
  </w:num>
  <w:num w:numId="11" w16cid:durableId="1422797884">
    <w:abstractNumId w:val="9"/>
  </w:num>
  <w:num w:numId="12" w16cid:durableId="1683893631">
    <w:abstractNumId w:val="8"/>
  </w:num>
  <w:num w:numId="13" w16cid:durableId="1837456345">
    <w:abstractNumId w:val="1"/>
  </w:num>
  <w:num w:numId="14" w16cid:durableId="1645430348">
    <w:abstractNumId w:val="38"/>
  </w:num>
  <w:num w:numId="15" w16cid:durableId="481848034">
    <w:abstractNumId w:val="10"/>
  </w:num>
  <w:num w:numId="16" w16cid:durableId="710614479">
    <w:abstractNumId w:val="29"/>
  </w:num>
  <w:num w:numId="17" w16cid:durableId="2078942084">
    <w:abstractNumId w:val="17"/>
  </w:num>
  <w:num w:numId="18" w16cid:durableId="1345590961">
    <w:abstractNumId w:val="0"/>
  </w:num>
  <w:num w:numId="19" w16cid:durableId="921835972">
    <w:abstractNumId w:val="40"/>
  </w:num>
  <w:num w:numId="20" w16cid:durableId="740955602">
    <w:abstractNumId w:val="7"/>
  </w:num>
  <w:num w:numId="21" w16cid:durableId="355930116">
    <w:abstractNumId w:val="31"/>
  </w:num>
  <w:num w:numId="22" w16cid:durableId="1427916784">
    <w:abstractNumId w:val="25"/>
  </w:num>
  <w:num w:numId="23" w16cid:durableId="1844588326">
    <w:abstractNumId w:val="3"/>
  </w:num>
  <w:num w:numId="24" w16cid:durableId="352418842">
    <w:abstractNumId w:val="16"/>
  </w:num>
  <w:num w:numId="25" w16cid:durableId="341400447">
    <w:abstractNumId w:val="24"/>
  </w:num>
  <w:num w:numId="26" w16cid:durableId="1097677909">
    <w:abstractNumId w:val="20"/>
  </w:num>
  <w:num w:numId="27" w16cid:durableId="1974289174">
    <w:abstractNumId w:val="28"/>
  </w:num>
  <w:num w:numId="28" w16cid:durableId="1676760851">
    <w:abstractNumId w:val="18"/>
  </w:num>
  <w:num w:numId="29" w16cid:durableId="1497575446">
    <w:abstractNumId w:val="37"/>
  </w:num>
  <w:num w:numId="30" w16cid:durableId="1181046265">
    <w:abstractNumId w:val="26"/>
  </w:num>
  <w:num w:numId="31" w16cid:durableId="1335179816">
    <w:abstractNumId w:val="5"/>
  </w:num>
  <w:num w:numId="32" w16cid:durableId="846289325">
    <w:abstractNumId w:val="27"/>
  </w:num>
  <w:num w:numId="33" w16cid:durableId="2125417857">
    <w:abstractNumId w:val="34"/>
  </w:num>
  <w:num w:numId="34" w16cid:durableId="860165953">
    <w:abstractNumId w:val="21"/>
  </w:num>
  <w:num w:numId="35" w16cid:durableId="1590040461">
    <w:abstractNumId w:val="12"/>
  </w:num>
  <w:num w:numId="36" w16cid:durableId="265159681">
    <w:abstractNumId w:val="15"/>
  </w:num>
  <w:num w:numId="37" w16cid:durableId="675617341">
    <w:abstractNumId w:val="22"/>
  </w:num>
  <w:num w:numId="38" w16cid:durableId="1696538949">
    <w:abstractNumId w:val="4"/>
  </w:num>
  <w:num w:numId="39" w16cid:durableId="1883979825">
    <w:abstractNumId w:val="32"/>
  </w:num>
  <w:num w:numId="40" w16cid:durableId="1290546709">
    <w:abstractNumId w:val="36"/>
  </w:num>
  <w:num w:numId="41" w16cid:durableId="72256023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4EFC"/>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5A7"/>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19B3"/>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DB5"/>
    <w:rsid w:val="0031334B"/>
    <w:rsid w:val="00316D50"/>
    <w:rsid w:val="003170CC"/>
    <w:rsid w:val="00320685"/>
    <w:rsid w:val="00320882"/>
    <w:rsid w:val="003217A7"/>
    <w:rsid w:val="00323647"/>
    <w:rsid w:val="00326996"/>
    <w:rsid w:val="00326D13"/>
    <w:rsid w:val="00327002"/>
    <w:rsid w:val="003310C4"/>
    <w:rsid w:val="00331917"/>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1684"/>
    <w:rsid w:val="00362196"/>
    <w:rsid w:val="003623FC"/>
    <w:rsid w:val="00364E4A"/>
    <w:rsid w:val="003661F8"/>
    <w:rsid w:val="003663CD"/>
    <w:rsid w:val="00366692"/>
    <w:rsid w:val="003668B0"/>
    <w:rsid w:val="00367354"/>
    <w:rsid w:val="003704ED"/>
    <w:rsid w:val="003714A8"/>
    <w:rsid w:val="00373E7A"/>
    <w:rsid w:val="0037433C"/>
    <w:rsid w:val="00375D4E"/>
    <w:rsid w:val="0037612A"/>
    <w:rsid w:val="003761A1"/>
    <w:rsid w:val="00376621"/>
    <w:rsid w:val="00376937"/>
    <w:rsid w:val="003770BA"/>
    <w:rsid w:val="0037732D"/>
    <w:rsid w:val="00377DEC"/>
    <w:rsid w:val="00381552"/>
    <w:rsid w:val="00382111"/>
    <w:rsid w:val="00382DED"/>
    <w:rsid w:val="003839C4"/>
    <w:rsid w:val="003840E6"/>
    <w:rsid w:val="003854CC"/>
    <w:rsid w:val="00386114"/>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3645"/>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633"/>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0AC"/>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1C9"/>
    <w:rsid w:val="004A65B7"/>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488"/>
    <w:rsid w:val="004F4B44"/>
    <w:rsid w:val="004F50E5"/>
    <w:rsid w:val="004F5989"/>
    <w:rsid w:val="004F5E28"/>
    <w:rsid w:val="004F60E0"/>
    <w:rsid w:val="004F637A"/>
    <w:rsid w:val="004F67DF"/>
    <w:rsid w:val="004F689D"/>
    <w:rsid w:val="004F6CA7"/>
    <w:rsid w:val="004F71E9"/>
    <w:rsid w:val="004F775D"/>
    <w:rsid w:val="00500B03"/>
    <w:rsid w:val="00501B2B"/>
    <w:rsid w:val="00502D39"/>
    <w:rsid w:val="00503B2A"/>
    <w:rsid w:val="00505F30"/>
    <w:rsid w:val="0051032C"/>
    <w:rsid w:val="00511F2A"/>
    <w:rsid w:val="00511FD9"/>
    <w:rsid w:val="00512474"/>
    <w:rsid w:val="00514003"/>
    <w:rsid w:val="00514303"/>
    <w:rsid w:val="00514525"/>
    <w:rsid w:val="00514876"/>
    <w:rsid w:val="00514FD9"/>
    <w:rsid w:val="00515137"/>
    <w:rsid w:val="0051522C"/>
    <w:rsid w:val="00515C80"/>
    <w:rsid w:val="00515F5D"/>
    <w:rsid w:val="00516EE0"/>
    <w:rsid w:val="00516F6F"/>
    <w:rsid w:val="0051791F"/>
    <w:rsid w:val="005207DC"/>
    <w:rsid w:val="00520ACB"/>
    <w:rsid w:val="00522ADC"/>
    <w:rsid w:val="00522C72"/>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2E20"/>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EEE"/>
    <w:rsid w:val="006A7A6A"/>
    <w:rsid w:val="006B1023"/>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6F7600"/>
    <w:rsid w:val="00700CB9"/>
    <w:rsid w:val="007013DC"/>
    <w:rsid w:val="007017C2"/>
    <w:rsid w:val="0070236D"/>
    <w:rsid w:val="007112FB"/>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33D4"/>
    <w:rsid w:val="0075433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143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E5C"/>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7226"/>
    <w:rsid w:val="008D050C"/>
    <w:rsid w:val="008D198B"/>
    <w:rsid w:val="008D218E"/>
    <w:rsid w:val="008D34F6"/>
    <w:rsid w:val="008D366E"/>
    <w:rsid w:val="008D3AD6"/>
    <w:rsid w:val="008D40AD"/>
    <w:rsid w:val="008D5104"/>
    <w:rsid w:val="008E07AF"/>
    <w:rsid w:val="008E0EFB"/>
    <w:rsid w:val="008E1CC4"/>
    <w:rsid w:val="008E1CDB"/>
    <w:rsid w:val="008E1F0D"/>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375"/>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317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385"/>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88"/>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4F6E"/>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07F2E"/>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3DA5"/>
    <w:rsid w:val="00CB4B1D"/>
    <w:rsid w:val="00CB4F86"/>
    <w:rsid w:val="00CB5C35"/>
    <w:rsid w:val="00CC02AE"/>
    <w:rsid w:val="00CC0D73"/>
    <w:rsid w:val="00CC281E"/>
    <w:rsid w:val="00CC4468"/>
    <w:rsid w:val="00CC51DD"/>
    <w:rsid w:val="00CC592F"/>
    <w:rsid w:val="00CC5BEB"/>
    <w:rsid w:val="00CC6D9D"/>
    <w:rsid w:val="00CD136D"/>
    <w:rsid w:val="00CD27C2"/>
    <w:rsid w:val="00CD282D"/>
    <w:rsid w:val="00CD2A39"/>
    <w:rsid w:val="00CD2E47"/>
    <w:rsid w:val="00CD48EE"/>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2EEC"/>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68"/>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97BC6"/>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19D4"/>
    <w:rsid w:val="00E23CE8"/>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4518"/>
    <w:rsid w:val="00E45691"/>
    <w:rsid w:val="00E45940"/>
    <w:rsid w:val="00E46336"/>
    <w:rsid w:val="00E471B2"/>
    <w:rsid w:val="00E47432"/>
    <w:rsid w:val="00E47CCA"/>
    <w:rsid w:val="00E5007E"/>
    <w:rsid w:val="00E51EFD"/>
    <w:rsid w:val="00E5423F"/>
    <w:rsid w:val="00E5498C"/>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8DE"/>
    <w:rsid w:val="00EA2FFD"/>
    <w:rsid w:val="00EA30E9"/>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C3"/>
    <w:rsid w:val="00EF41E8"/>
    <w:rsid w:val="00EF503F"/>
    <w:rsid w:val="00EF5327"/>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2B60"/>
    <w:rsid w:val="00FC542A"/>
    <w:rsid w:val="00FC5B53"/>
    <w:rsid w:val="00FC6EE0"/>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paragraph" w:customStyle="1" w:styleId="xmsolistparagraph">
    <w:name w:val="x_msolistparagraph"/>
    <w:basedOn w:val="Normal"/>
    <w:rsid w:val="003C3645"/>
    <w:pPr>
      <w:tabs>
        <w:tab w:val="clear" w:pos="0"/>
      </w:tabs>
      <w:autoSpaceDE/>
      <w:autoSpaceDN/>
      <w:adjustRightInd/>
      <w:ind w:left="720"/>
    </w:pPr>
    <w:rPr>
      <w:rFonts w:ascii="Calibri" w:eastAsiaTheme="minorHAnsi" w:hAnsi="Calibri" w:cs="Calibri"/>
      <w:sz w:val="22"/>
      <w:szCs w:val="22"/>
      <w:lang w:eastAsia="en-US"/>
    </w:rPr>
  </w:style>
  <w:style w:type="paragraph" w:customStyle="1" w:styleId="xxmsonormal">
    <w:name w:val="x_xmsonormal"/>
    <w:basedOn w:val="Normal"/>
    <w:rsid w:val="003C3645"/>
    <w:pPr>
      <w:tabs>
        <w:tab w:val="clear" w:pos="0"/>
      </w:tabs>
      <w:autoSpaceDE/>
      <w:autoSpaceDN/>
      <w:adjustRightInd/>
    </w:pPr>
    <w:rPr>
      <w:rFonts w:ascii="Calibri" w:eastAsiaTheme="minorHAnsi" w:hAnsi="Calibri" w:cs="Calibri"/>
      <w:sz w:val="22"/>
      <w:szCs w:val="22"/>
      <w:lang w:eastAsia="en-US"/>
    </w:rPr>
  </w:style>
  <w:style w:type="character" w:customStyle="1" w:styleId="xxxcontentpasted0">
    <w:name w:val="x_xxcontentpasted0"/>
    <w:basedOn w:val="DefaultParagraphFont"/>
    <w:rsid w:val="003C3645"/>
  </w:style>
  <w:style w:type="character" w:customStyle="1" w:styleId="xxxcontentpasted1">
    <w:name w:val="x_xxcontentpasted1"/>
    <w:basedOn w:val="DefaultParagraphFont"/>
    <w:rsid w:val="003C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1036278363">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531989036">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91898788">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ademicbulletins.sc.edu/graduate/policies-regulations/graduate-academic-regulations" TargetMode="External"/><Relationship Id="rId18" Type="http://schemas.openxmlformats.org/officeDocument/2006/relationships/hyperlink" Target="https://www.sc.edu/policies/ppm/staf625.pdf" TargetMode="External"/><Relationship Id="rId26" Type="http://schemas.openxmlformats.org/officeDocument/2006/relationships/hyperlink" Target="https://www.sc.edu/about/offices_and_divisions/health_services/medical-services/counseling-and-psychiatry/online-support/index.php" TargetMode="External"/><Relationship Id="rId3" Type="http://schemas.openxmlformats.org/officeDocument/2006/relationships/styles" Target="styles.xml"/><Relationship Id="rId21" Type="http://schemas.openxmlformats.org/officeDocument/2006/relationships/hyperlink" Target="https://sc.edu/about/offices_and_divisions/division_of_information_technology/security/policy/universitypolic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ademicbulletins.sc.edu/undergraduate/policies-regulations/undergraduate-academic-regulations" TargetMode="External"/><Relationship Id="rId17" Type="http://schemas.openxmlformats.org/officeDocument/2006/relationships/hyperlink" Target="https://academicbulletins.sc.edu/undergraduate/policies-regulations/undergraduate-academic-regulations/" TargetMode="External"/><Relationship Id="rId25" Type="http://schemas.openxmlformats.org/officeDocument/2006/relationships/hyperlink" Target="https://us.taoconnect.org/regist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ademicbulletins.sc.edu/undergraduate/policies-regulations/undergraduate-academic-regulations/" TargetMode="External"/><Relationship Id="rId20" Type="http://schemas.openxmlformats.org/officeDocument/2006/relationships/hyperlink" Target="https://sc.edu/about/offices_and_divisions/division_of_information_technology/security/policy/universitypolicy/" TargetMode="External"/><Relationship Id="rId29" Type="http://schemas.openxmlformats.org/officeDocument/2006/relationships/hyperlink" Target="https://myhealthspace.ushs.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edu/policies/facman/Faculty_Advisory_Housekeeping.pdf" TargetMode="External"/><Relationship Id="rId24" Type="http://schemas.openxmlformats.org/officeDocument/2006/relationships/hyperlink" Target="https://myhealthspace.ushs.sc.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cademicbulletins.sc.edu/undergraduate/policies-regulations/undergraduate-academic-regulations/" TargetMode="External"/><Relationship Id="rId23" Type="http://schemas.openxmlformats.org/officeDocument/2006/relationships/hyperlink" Target="https://www.sc.edu/about/offices_and_divisions/health_services/mental-health/index.php" TargetMode="External"/><Relationship Id="rId28" Type="http://schemas.openxmlformats.org/officeDocument/2006/relationships/hyperlink" Target="https://nam02.safelinks.protection.outlook.com/?url=https%3A%2F%2Fwww.campuswell.com%2F&amp;data=05%7C01%7CHAYNESA%40email.sc.edu%7Ceb8e5c9a94524b3097b108db19a78828%7C4b2a4b19d135420e8bb2b1cd238998cc%7C0%7C0%7C638131979554022883%7CUnknown%7CTWFpbGZsb3d8eyJWIjoiMC4wLjAwMDAiLCJQIjoiV2luMzIiLCJBTiI6Ik1haWwiLCJXVCI6Mn0%3D%7C3000%7C%7C%7C&amp;sdata=hnEVoEicnaYGpQFFGEcHNDlNEPBnNb50GXX5XzZQ2EY%3D&amp;reserved=0"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www.sa.sc.edu/academicintegrity/" TargetMode="External"/><Relationship Id="rId31" Type="http://schemas.openxmlformats.org/officeDocument/2006/relationships/hyperlink" Target="https://sc.edu/about/offices_and_divisions/cte/teaching_resources/syllabus_templates/index.php"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www.sc.edu/about/offices_and_divisions/student_affairs/our_experts/our_offices/student_life/spiritual_religious_life/interfaith_calendar/index.php" TargetMode="External"/><Relationship Id="rId22" Type="http://schemas.openxmlformats.org/officeDocument/2006/relationships/hyperlink" Target="http://www.sa.sc.edu/sds/" TargetMode="External"/><Relationship Id="rId27" Type="http://schemas.openxmlformats.org/officeDocument/2006/relationships/hyperlink" Target="https://nam02.safelinks.protection.outlook.com/?url=https%3A%2F%2Fthriveatcarolina.com%2F&amp;data=05%7C01%7CHAYNESA%40email.sc.edu%7Ceb8e5c9a94524b3097b108db19a78828%7C4b2a4b19d135420e8bb2b1cd238998cc%7C0%7C0%7C638131979554022883%7CUnknown%7CTWFpbGZsb3d8eyJWIjoiMC4wLjAwMDAiLCJQIjoiV2luMzIiLCJBTiI6Ik1haWwiLCJXVCI6Mn0%3D%7C3000%7C%7C%7C&amp;sdata=I0SfLRCIHF8DDa1VX%2FlkKtvqgkLpAeV8PuVellQt75k%3D&amp;reserved=0" TargetMode="External"/><Relationship Id="rId30" Type="http://schemas.openxmlformats.org/officeDocument/2006/relationships/hyperlink" Target="https://nam02.safelinks.protection.outlook.com/?url=https%3A%2F%2Fwww.uscscreening.org%2Fwelcome.cfm%3Faccess%3Dwebsite&amp;data=05%7C01%7CHAYNESA%40email.sc.edu%7Ceb8e5c9a94524b3097b108db19a78828%7C4b2a4b19d135420e8bb2b1cd238998cc%7C0%7C0%7C638131979554022883%7CUnknown%7CTWFpbGZsb3d8eyJWIjoiMC4wLjAwMDAiLCJQIjoiV2luMzIiLCJBTiI6Ik1haWwiLCJXVCI6Mn0%3D%7C3000%7C%7C%7C&amp;sdata=t%2BVtDkixHiZ1XKGXlcq6Moq2gW8DPeF9txQ1l3j%2FTFE%3D&amp;reserved=0" TargetMode="External"/><Relationship Id="rId8" Type="http://schemas.openxmlformats.org/officeDocument/2006/relationships/hyperlink" Target="https://www.sc.edu/policies/ppm/acaf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19322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HELENA JOHNSON</cp:lastModifiedBy>
  <cp:revision>6</cp:revision>
  <cp:lastPrinted>2017-12-07T16:08:00Z</cp:lastPrinted>
  <dcterms:created xsi:type="dcterms:W3CDTF">2023-01-13T17:37:00Z</dcterms:created>
  <dcterms:modified xsi:type="dcterms:W3CDTF">2023-07-07T18:19:00Z</dcterms:modified>
</cp:coreProperties>
</file>