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EB" w:rsidRPr="00CA12D2" w:rsidRDefault="00D31AEB" w:rsidP="00D31AEB">
      <w:pPr>
        <w:pStyle w:val="NoSpacing"/>
        <w:rPr>
          <w:rFonts w:cs="Times New Roman"/>
          <w:sz w:val="24"/>
          <w:szCs w:val="24"/>
        </w:rPr>
      </w:pPr>
      <w:r w:rsidRPr="00CA12D2">
        <w:rPr>
          <w:rFonts w:cs="Times New Roman"/>
          <w:b/>
          <w:bCs/>
          <w:noProof/>
          <w:sz w:val="24"/>
          <w:szCs w:val="24"/>
        </w:rPr>
        <w:drawing>
          <wp:inline distT="0" distB="0" distL="0" distR="0" wp14:anchorId="6C49D6E7" wp14:editId="67C641AB">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D31AEB" w:rsidRPr="00CA12D2" w:rsidRDefault="00D31AEB" w:rsidP="00D31AEB">
      <w:pPr>
        <w:pStyle w:val="NoSpacing"/>
        <w:rPr>
          <w:rFonts w:cs="Times New Roman"/>
          <w:sz w:val="24"/>
          <w:szCs w:val="24"/>
        </w:rPr>
      </w:pPr>
    </w:p>
    <w:p w:rsidR="00D31AEB" w:rsidRPr="00CA12D2" w:rsidRDefault="00D31AEB" w:rsidP="00D31AEB">
      <w:pPr>
        <w:pStyle w:val="NoSpacing"/>
        <w:jc w:val="center"/>
        <w:rPr>
          <w:rFonts w:cs="Times New Roman"/>
          <w:b/>
          <w:sz w:val="24"/>
          <w:szCs w:val="24"/>
        </w:rPr>
      </w:pPr>
      <w:r w:rsidRPr="00CA12D2">
        <w:rPr>
          <w:rFonts w:cs="Times New Roman"/>
          <w:b/>
          <w:sz w:val="24"/>
          <w:szCs w:val="24"/>
        </w:rPr>
        <w:t>COMPARATIVE LITERATURE 270</w:t>
      </w:r>
    </w:p>
    <w:p w:rsidR="00D31AEB" w:rsidRPr="00CA12D2" w:rsidRDefault="00D31AEB" w:rsidP="00D31AEB">
      <w:pPr>
        <w:pStyle w:val="NoSpacing"/>
        <w:jc w:val="center"/>
        <w:rPr>
          <w:rFonts w:cs="Times New Roman"/>
          <w:b/>
          <w:sz w:val="24"/>
          <w:szCs w:val="24"/>
        </w:rPr>
      </w:pPr>
      <w:r w:rsidRPr="00CA12D2">
        <w:rPr>
          <w:rFonts w:cs="Times New Roman"/>
          <w:b/>
          <w:sz w:val="24"/>
          <w:szCs w:val="24"/>
        </w:rPr>
        <w:t>WORLD LITERATURE</w:t>
      </w:r>
    </w:p>
    <w:p w:rsidR="00D31AEB" w:rsidRPr="00CA12D2" w:rsidRDefault="00D31AEB" w:rsidP="00D31AEB">
      <w:pPr>
        <w:pStyle w:val="NoSpacing"/>
        <w:rPr>
          <w:rFonts w:cs="Times New Roman"/>
          <w:sz w:val="24"/>
          <w:szCs w:val="24"/>
        </w:rPr>
      </w:pPr>
    </w:p>
    <w:p w:rsidR="00D31AEB" w:rsidRPr="00CA12D2" w:rsidRDefault="00D31AEB" w:rsidP="00D31AEB">
      <w:pPr>
        <w:pStyle w:val="NoSpacing"/>
        <w:rPr>
          <w:rFonts w:cs="Times New Roman"/>
          <w:b/>
          <w:sz w:val="24"/>
          <w:szCs w:val="24"/>
        </w:rPr>
      </w:pPr>
      <w:r w:rsidRPr="00CA12D2">
        <w:rPr>
          <w:rFonts w:cs="Times New Roman"/>
          <w:b/>
          <w:sz w:val="24"/>
          <w:szCs w:val="24"/>
        </w:rPr>
        <w:t>BULLETIN INFORMATION</w:t>
      </w:r>
    </w:p>
    <w:p w:rsidR="00D31AEB" w:rsidRPr="00CA12D2" w:rsidRDefault="00D31AEB" w:rsidP="00D31AEB">
      <w:pPr>
        <w:pStyle w:val="NoSpacing"/>
        <w:rPr>
          <w:rFonts w:cs="Times New Roman"/>
          <w:sz w:val="24"/>
          <w:szCs w:val="24"/>
        </w:rPr>
      </w:pPr>
      <w:r w:rsidRPr="00CA12D2">
        <w:rPr>
          <w:rFonts w:cs="Times New Roman"/>
          <w:sz w:val="24"/>
          <w:szCs w:val="24"/>
        </w:rPr>
        <w:t xml:space="preserve">CPLT 270: World Literature                                                                                            </w:t>
      </w:r>
    </w:p>
    <w:p w:rsidR="00D31AEB" w:rsidRPr="00CA12D2" w:rsidRDefault="00D31AEB" w:rsidP="00D31AEB">
      <w:pPr>
        <w:pStyle w:val="NoSpacing"/>
        <w:rPr>
          <w:rFonts w:cs="Times New Roman"/>
          <w:b/>
          <w:sz w:val="24"/>
          <w:szCs w:val="24"/>
        </w:rPr>
      </w:pPr>
      <w:r w:rsidRPr="00CA12D2">
        <w:rPr>
          <w:rFonts w:cs="Times New Roman"/>
          <w:b/>
          <w:sz w:val="24"/>
          <w:szCs w:val="24"/>
        </w:rPr>
        <w:t>Course Description:</w:t>
      </w:r>
    </w:p>
    <w:p w:rsidR="00D31AEB" w:rsidRPr="00CA12D2" w:rsidRDefault="00D31AEB" w:rsidP="00D31AEB">
      <w:pPr>
        <w:pStyle w:val="NoSpacing"/>
        <w:rPr>
          <w:rFonts w:cs="Times New Roman"/>
          <w:b/>
          <w:sz w:val="24"/>
          <w:szCs w:val="24"/>
        </w:rPr>
      </w:pPr>
      <w:r w:rsidRPr="00CA12D2">
        <w:rPr>
          <w:rFonts w:cs="Times New Roman"/>
          <w:sz w:val="24"/>
          <w:szCs w:val="24"/>
        </w:rPr>
        <w:t>Selected masterpieces of world literature from antiquity to the present</w:t>
      </w:r>
      <w:r w:rsidRPr="00CA12D2">
        <w:rPr>
          <w:rFonts w:cs="Times New Roman"/>
          <w:sz w:val="24"/>
          <w:szCs w:val="24"/>
        </w:rPr>
        <w:br/>
      </w:r>
      <w:r w:rsidRPr="00CA12D2">
        <w:rPr>
          <w:rStyle w:val="Strong"/>
          <w:rFonts w:cs="Times New Roman"/>
          <w:b w:val="0"/>
          <w:sz w:val="24"/>
          <w:szCs w:val="24"/>
        </w:rPr>
        <w:t>Cross-listed Course</w:t>
      </w:r>
      <w:r w:rsidRPr="00CA12D2">
        <w:rPr>
          <w:rStyle w:val="Strong"/>
          <w:rFonts w:cs="Times New Roman"/>
          <w:sz w:val="24"/>
          <w:szCs w:val="24"/>
        </w:rPr>
        <w:t>:</w:t>
      </w:r>
      <w:r w:rsidRPr="00CA12D2">
        <w:rPr>
          <w:rFonts w:cs="Times New Roman"/>
          <w:sz w:val="24"/>
          <w:szCs w:val="24"/>
        </w:rPr>
        <w:t xml:space="preserve"> ENGL 270</w:t>
      </w:r>
    </w:p>
    <w:p w:rsidR="00D31AEB" w:rsidRPr="00CA12D2" w:rsidRDefault="00D31AEB" w:rsidP="00D31AEB">
      <w:pPr>
        <w:pStyle w:val="NoSpacing"/>
        <w:rPr>
          <w:rFonts w:cs="Times New Roman"/>
          <w:sz w:val="24"/>
          <w:szCs w:val="24"/>
        </w:rPr>
      </w:pPr>
    </w:p>
    <w:p w:rsidR="00D31AEB" w:rsidRPr="00CA12D2" w:rsidRDefault="00D31AEB" w:rsidP="00D31AEB">
      <w:pPr>
        <w:pStyle w:val="NoSpacing"/>
        <w:rPr>
          <w:rFonts w:cs="Times New Roman"/>
          <w:sz w:val="24"/>
          <w:szCs w:val="24"/>
        </w:rPr>
      </w:pPr>
      <w:r w:rsidRPr="00CA12D2">
        <w:rPr>
          <w:rFonts w:cs="Times New Roman"/>
          <w:b/>
          <w:sz w:val="24"/>
          <w:szCs w:val="24"/>
        </w:rPr>
        <w:t>SAMPLE COURSE OVERVIEW</w:t>
      </w:r>
    </w:p>
    <w:p w:rsidR="00D31AEB" w:rsidRPr="00CA12D2" w:rsidRDefault="00D31AEB" w:rsidP="00D31AEB">
      <w:pPr>
        <w:pStyle w:val="NoSpacing"/>
        <w:rPr>
          <w:rFonts w:cs="Times New Roman"/>
          <w:sz w:val="24"/>
          <w:szCs w:val="24"/>
        </w:rPr>
      </w:pPr>
      <w:r w:rsidRPr="00CA12D2">
        <w:rPr>
          <w:rFonts w:cs="Times New Roman"/>
          <w:sz w:val="24"/>
          <w:szCs w:val="24"/>
        </w:rPr>
        <w:t>A survey of world literature from the beginnings to the modern period, this course examines texts from a wide array of cultures, for instance, China, England, France, Germany, Greece, India, Japan, and Nigeria. We shall engage a variety of genres such as drama, novel, poetry, and short story. Authors we cover include, but are not limited to, Aeschylus, Confucius, Ovid, Abolqasem Ferdowsi, Tu Fu, Zeami, Montaigne, Borges, Lessing, and Soyinka. By reading these important writers’ representative works, students are expected to develop an in-depth understanding of these texts by situating them in their respective historical and cultural contexts. Particular emphasis will be placed upon cross-cultural and comparative perspectives.</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rPr>
      </w:pPr>
      <w:r w:rsidRPr="00CA12D2">
        <w:rPr>
          <w:rFonts w:cs="Times New Roman"/>
          <w:b/>
          <w:sz w:val="24"/>
          <w:szCs w:val="24"/>
        </w:rPr>
        <w:t>ITEMIZED LEARNING OUTCOMES</w:t>
      </w:r>
    </w:p>
    <w:p w:rsidR="00D31AEB" w:rsidRPr="00CA12D2" w:rsidRDefault="00D31AEB" w:rsidP="00D31AEB">
      <w:pPr>
        <w:pStyle w:val="NoSpacing"/>
        <w:rPr>
          <w:rFonts w:cs="Times New Roman"/>
          <w:sz w:val="24"/>
          <w:szCs w:val="24"/>
        </w:rPr>
      </w:pPr>
      <w:r w:rsidRPr="00CA12D2">
        <w:rPr>
          <w:rFonts w:cs="Times New Roman"/>
          <w:sz w:val="24"/>
          <w:szCs w:val="24"/>
        </w:rPr>
        <w:t>This course aims to help enhance students’ ability to aesthetically appreciate and effectively interpret literary works, and to help sharpen their skills to write about literary texts effectively, engagingly, and persuasively</w:t>
      </w:r>
      <w:r w:rsidR="000B4B89">
        <w:rPr>
          <w:rFonts w:cs="Times New Roman"/>
          <w:sz w:val="24"/>
          <w:szCs w:val="24"/>
        </w:rPr>
        <w:t>.</w:t>
      </w:r>
    </w:p>
    <w:p w:rsidR="00D31AEB" w:rsidRPr="00CA12D2" w:rsidRDefault="00D31AEB" w:rsidP="00D31AEB">
      <w:pPr>
        <w:pStyle w:val="NoSpacing"/>
        <w:rPr>
          <w:rFonts w:cs="Times New Roman"/>
          <w:b/>
          <w:bCs/>
          <w:sz w:val="24"/>
          <w:szCs w:val="24"/>
          <w:u w:val="single"/>
        </w:rPr>
      </w:pPr>
      <w:r w:rsidRPr="00CA12D2">
        <w:rPr>
          <w:rStyle w:val="Strong"/>
          <w:rFonts w:cs="Times New Roman"/>
          <w:sz w:val="24"/>
          <w:szCs w:val="24"/>
          <w:u w:val="single"/>
        </w:rPr>
        <w:t xml:space="preserve">Upon successful completion of </w:t>
      </w:r>
      <w:r w:rsidR="001551D0" w:rsidRPr="00CA12D2">
        <w:rPr>
          <w:rStyle w:val="Strong"/>
          <w:rFonts w:cs="Times New Roman"/>
          <w:sz w:val="24"/>
          <w:szCs w:val="24"/>
          <w:u w:val="single"/>
        </w:rPr>
        <w:t>Comparative Literature 270</w:t>
      </w:r>
      <w:r w:rsidRPr="00CA12D2">
        <w:rPr>
          <w:rStyle w:val="Strong"/>
          <w:rFonts w:cs="Times New Roman"/>
          <w:sz w:val="24"/>
          <w:szCs w:val="24"/>
          <w:u w:val="single"/>
        </w:rPr>
        <w:t>, students will be able to:</w:t>
      </w:r>
      <w:r w:rsidRPr="00CA12D2">
        <w:rPr>
          <w:rFonts w:cs="Times New Roman"/>
          <w:sz w:val="24"/>
          <w:szCs w:val="24"/>
        </w:rPr>
        <w:t xml:space="preserve">  </w:t>
      </w:r>
    </w:p>
    <w:p w:rsidR="00D31AEB" w:rsidRPr="00CA12D2" w:rsidRDefault="00D31AEB" w:rsidP="00D31AEB">
      <w:pPr>
        <w:pStyle w:val="NoSpacing"/>
        <w:numPr>
          <w:ilvl w:val="0"/>
          <w:numId w:val="1"/>
        </w:numPr>
        <w:rPr>
          <w:rFonts w:cs="Times New Roman"/>
          <w:sz w:val="24"/>
          <w:szCs w:val="24"/>
        </w:rPr>
      </w:pPr>
      <w:r w:rsidRPr="00CA12D2">
        <w:rPr>
          <w:rFonts w:cs="Times New Roman"/>
          <w:sz w:val="24"/>
          <w:szCs w:val="24"/>
        </w:rPr>
        <w:t>Demonstrate a familiarity with the authors and the works this course covers as well as a good understanding of the historical, political and cultural contexts in which these works emerged; </w:t>
      </w:r>
    </w:p>
    <w:p w:rsidR="00D31AEB" w:rsidRPr="00CA12D2" w:rsidRDefault="00D31AEB" w:rsidP="00D31AEB">
      <w:pPr>
        <w:pStyle w:val="NoSpacing"/>
        <w:numPr>
          <w:ilvl w:val="0"/>
          <w:numId w:val="1"/>
        </w:numPr>
        <w:rPr>
          <w:rFonts w:cs="Times New Roman"/>
          <w:sz w:val="24"/>
          <w:szCs w:val="24"/>
        </w:rPr>
      </w:pPr>
      <w:r w:rsidRPr="00CA12D2">
        <w:rPr>
          <w:rFonts w:cs="Times New Roman"/>
          <w:sz w:val="24"/>
          <w:szCs w:val="24"/>
        </w:rPr>
        <w:t xml:space="preserve">Analyze literary texts critically and comparatively, and to argue effectively and persuasively; </w:t>
      </w:r>
    </w:p>
    <w:p w:rsidR="00D31AEB" w:rsidRPr="00CA12D2" w:rsidRDefault="00D31AEB" w:rsidP="00D31AEB">
      <w:pPr>
        <w:pStyle w:val="NoSpacing"/>
        <w:numPr>
          <w:ilvl w:val="0"/>
          <w:numId w:val="1"/>
        </w:numPr>
        <w:rPr>
          <w:rFonts w:cs="Times New Roman"/>
          <w:sz w:val="24"/>
          <w:szCs w:val="24"/>
        </w:rPr>
      </w:pPr>
      <w:r w:rsidRPr="00CA12D2">
        <w:rPr>
          <w:rFonts w:cs="Times New Roman"/>
          <w:sz w:val="24"/>
          <w:szCs w:val="24"/>
        </w:rPr>
        <w:t xml:space="preserve">Demonstrate oral communicative skills through class discussions and presentations. </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bCs/>
          <w:sz w:val="24"/>
          <w:szCs w:val="24"/>
        </w:rPr>
      </w:pPr>
      <w:r w:rsidRPr="00CA12D2">
        <w:rPr>
          <w:rFonts w:cs="Times New Roman"/>
          <w:b/>
          <w:bCs/>
          <w:sz w:val="24"/>
          <w:szCs w:val="24"/>
        </w:rPr>
        <w:t>SAMPLE REQUIRED TEXTS/SUGGESTED READINGS/MATERIALS</w:t>
      </w:r>
    </w:p>
    <w:p w:rsidR="00D31AEB" w:rsidRPr="00CA12D2" w:rsidRDefault="00D31AEB" w:rsidP="007415B7">
      <w:pPr>
        <w:pStyle w:val="NoSpacing"/>
        <w:numPr>
          <w:ilvl w:val="0"/>
          <w:numId w:val="3"/>
        </w:numPr>
        <w:rPr>
          <w:rFonts w:cs="Times New Roman"/>
          <w:bCs/>
          <w:sz w:val="24"/>
          <w:szCs w:val="24"/>
        </w:rPr>
      </w:pPr>
      <w:r w:rsidRPr="00CA12D2">
        <w:rPr>
          <w:rFonts w:cs="Times New Roman"/>
          <w:bCs/>
          <w:i/>
          <w:iCs/>
          <w:sz w:val="24"/>
          <w:szCs w:val="24"/>
        </w:rPr>
        <w:t>The Norton Anthology of World Literature</w:t>
      </w:r>
      <w:r w:rsidRPr="00CA12D2">
        <w:rPr>
          <w:rFonts w:cs="Times New Roman"/>
          <w:bCs/>
          <w:sz w:val="24"/>
          <w:szCs w:val="24"/>
        </w:rPr>
        <w:t>, Volumes A, B, D, D, E and F (available for purchase at the University Bookstore)</w:t>
      </w:r>
    </w:p>
    <w:p w:rsidR="007415B7" w:rsidRPr="00CA12D2" w:rsidRDefault="007415B7" w:rsidP="00D31AEB">
      <w:pPr>
        <w:pStyle w:val="NoSpacing"/>
        <w:rPr>
          <w:rFonts w:cs="Times New Roman"/>
          <w:b/>
          <w:bCs/>
          <w:sz w:val="24"/>
          <w:szCs w:val="24"/>
        </w:rPr>
      </w:pPr>
    </w:p>
    <w:p w:rsidR="007415B7" w:rsidRPr="00CA12D2" w:rsidRDefault="007415B7" w:rsidP="00D31AEB">
      <w:pPr>
        <w:pStyle w:val="NoSpacing"/>
        <w:rPr>
          <w:rFonts w:cs="Times New Roman"/>
          <w:sz w:val="24"/>
          <w:szCs w:val="24"/>
        </w:rPr>
      </w:pPr>
      <w:r w:rsidRPr="00CA12D2">
        <w:rPr>
          <w:rFonts w:cs="Times New Roman"/>
          <w:b/>
          <w:sz w:val="24"/>
          <w:szCs w:val="24"/>
        </w:rPr>
        <w:t>SAMPLE ASSIGNMENTS AND/OR EXAMS</w:t>
      </w:r>
    </w:p>
    <w:p w:rsidR="00D31AEB" w:rsidRPr="00CA12D2" w:rsidRDefault="00D31AEB" w:rsidP="00D31AEB">
      <w:pPr>
        <w:pStyle w:val="NoSpacing"/>
        <w:numPr>
          <w:ilvl w:val="0"/>
          <w:numId w:val="2"/>
        </w:numPr>
        <w:rPr>
          <w:rFonts w:cs="Times New Roman"/>
          <w:sz w:val="24"/>
          <w:szCs w:val="24"/>
        </w:rPr>
      </w:pPr>
      <w:r w:rsidRPr="00CA12D2">
        <w:rPr>
          <w:rFonts w:cs="Times New Roman"/>
          <w:b/>
          <w:sz w:val="24"/>
          <w:szCs w:val="24"/>
        </w:rPr>
        <w:t>Class participation:</w:t>
      </w:r>
      <w:r w:rsidRPr="00CA12D2">
        <w:rPr>
          <w:rFonts w:cs="Times New Roman"/>
          <w:sz w:val="24"/>
          <w:szCs w:val="24"/>
        </w:rPr>
        <w:t xml:space="preserve"> Much emphasis will be placed on class participation, which includes timely attendance and active and constructive participation in section. You are required to bring readings to class discussions.</w:t>
      </w:r>
    </w:p>
    <w:p w:rsidR="00D31AEB" w:rsidRPr="00CA12D2" w:rsidRDefault="00D31AEB" w:rsidP="00D31AEB">
      <w:pPr>
        <w:pStyle w:val="NoSpacing"/>
        <w:numPr>
          <w:ilvl w:val="0"/>
          <w:numId w:val="2"/>
        </w:numPr>
        <w:rPr>
          <w:rFonts w:cs="Times New Roman"/>
          <w:sz w:val="24"/>
          <w:szCs w:val="24"/>
        </w:rPr>
      </w:pPr>
      <w:r w:rsidRPr="00CA12D2">
        <w:rPr>
          <w:rFonts w:cs="Times New Roman"/>
          <w:b/>
          <w:sz w:val="24"/>
          <w:szCs w:val="24"/>
        </w:rPr>
        <w:lastRenderedPageBreak/>
        <w:t>Presentation:</w:t>
      </w:r>
      <w:r w:rsidRPr="00CA12D2">
        <w:rPr>
          <w:rFonts w:cs="Times New Roman"/>
          <w:sz w:val="24"/>
          <w:szCs w:val="24"/>
        </w:rPr>
        <w:t xml:space="preserve"> Each student is supposed to sign up to do one presentation, which is meant to enhance his/her communicative skills and the ability to lead and be engaged in a discussion on literature. </w:t>
      </w:r>
    </w:p>
    <w:p w:rsidR="00A52FCC" w:rsidRPr="00A52FCC" w:rsidRDefault="00A52FCC" w:rsidP="00A52FCC">
      <w:pPr>
        <w:pStyle w:val="NoSpacing"/>
        <w:ind w:left="720"/>
        <w:rPr>
          <w:rFonts w:cs="Times New Roman"/>
          <w:sz w:val="24"/>
          <w:szCs w:val="24"/>
        </w:rPr>
      </w:pPr>
    </w:p>
    <w:p w:rsidR="00D31AEB" w:rsidRPr="00CA12D2" w:rsidRDefault="00D31AEB" w:rsidP="00D31AEB">
      <w:pPr>
        <w:pStyle w:val="NoSpacing"/>
        <w:numPr>
          <w:ilvl w:val="0"/>
          <w:numId w:val="2"/>
        </w:numPr>
        <w:rPr>
          <w:rFonts w:cs="Times New Roman"/>
          <w:sz w:val="24"/>
          <w:szCs w:val="24"/>
        </w:rPr>
      </w:pPr>
      <w:r w:rsidRPr="00CA12D2">
        <w:rPr>
          <w:rFonts w:cs="Times New Roman"/>
          <w:b/>
          <w:sz w:val="24"/>
          <w:szCs w:val="24"/>
        </w:rPr>
        <w:t>Midterm and final exams:</w:t>
      </w:r>
      <w:r w:rsidRPr="00CA12D2">
        <w:rPr>
          <w:rFonts w:cs="Times New Roman"/>
          <w:sz w:val="24"/>
          <w:szCs w:val="24"/>
        </w:rPr>
        <w:t xml:space="preserve"> The two in-class, closed-book exams are designed to test on: </w:t>
      </w:r>
    </w:p>
    <w:p w:rsidR="00D31AEB" w:rsidRPr="00CA12D2" w:rsidRDefault="00D31AEB" w:rsidP="00D31AEB">
      <w:pPr>
        <w:pStyle w:val="NoSpacing"/>
        <w:numPr>
          <w:ilvl w:val="1"/>
          <w:numId w:val="2"/>
        </w:numPr>
        <w:rPr>
          <w:rFonts w:cs="Times New Roman"/>
          <w:sz w:val="24"/>
          <w:szCs w:val="24"/>
        </w:rPr>
      </w:pPr>
      <w:r w:rsidRPr="00CA12D2">
        <w:rPr>
          <w:rFonts w:cs="Times New Roman"/>
          <w:sz w:val="24"/>
          <w:szCs w:val="24"/>
        </w:rPr>
        <w:t xml:space="preserve">Your knowledge of the writers, literary texts and the key concepts introduced through our reading of the texts; </w:t>
      </w:r>
    </w:p>
    <w:p w:rsidR="00D31AEB" w:rsidRPr="00CA12D2" w:rsidRDefault="00D31AEB" w:rsidP="00D31AEB">
      <w:pPr>
        <w:pStyle w:val="NoSpacing"/>
        <w:numPr>
          <w:ilvl w:val="1"/>
          <w:numId w:val="2"/>
        </w:numPr>
        <w:rPr>
          <w:rFonts w:cs="Times New Roman"/>
          <w:sz w:val="24"/>
          <w:szCs w:val="24"/>
        </w:rPr>
      </w:pPr>
      <w:r w:rsidRPr="00CA12D2">
        <w:rPr>
          <w:rFonts w:cs="Times New Roman"/>
          <w:sz w:val="24"/>
          <w:szCs w:val="24"/>
        </w:rPr>
        <w:t>Your basic skills to write analytically about a given topic.</w:t>
      </w:r>
    </w:p>
    <w:p w:rsidR="00D31AEB" w:rsidRPr="00CA12D2" w:rsidRDefault="00D31AEB" w:rsidP="00D31AEB">
      <w:pPr>
        <w:pStyle w:val="NoSpacing"/>
        <w:numPr>
          <w:ilvl w:val="1"/>
          <w:numId w:val="2"/>
        </w:numPr>
        <w:rPr>
          <w:rFonts w:cs="Times New Roman"/>
          <w:sz w:val="24"/>
          <w:szCs w:val="24"/>
        </w:rPr>
      </w:pPr>
      <w:r w:rsidRPr="00CA12D2">
        <w:rPr>
          <w:rFonts w:cs="Times New Roman"/>
          <w:sz w:val="24"/>
          <w:szCs w:val="24"/>
        </w:rPr>
        <w:t>I shall not give makeup tests/exams unless there are exceptional circumstances. If you absolutely have to miss a test/exam, please try your best to inform me as early as possible. Again, proper documentation is required in cases as such.</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numPr>
          <w:ilvl w:val="0"/>
          <w:numId w:val="2"/>
        </w:numPr>
        <w:rPr>
          <w:rFonts w:cs="Times New Roman"/>
          <w:b/>
          <w:sz w:val="24"/>
          <w:szCs w:val="24"/>
        </w:rPr>
      </w:pPr>
      <w:r w:rsidRPr="00CA12D2">
        <w:rPr>
          <w:rFonts w:cs="Times New Roman"/>
          <w:b/>
          <w:sz w:val="24"/>
          <w:szCs w:val="24"/>
        </w:rPr>
        <w:t>Writing assignments</w:t>
      </w:r>
      <w:r w:rsidRPr="00CA12D2">
        <w:rPr>
          <w:rFonts w:cs="Times New Roman"/>
          <w:sz w:val="24"/>
          <w:szCs w:val="24"/>
        </w:rPr>
        <w:t>:</w:t>
      </w:r>
      <w:r w:rsidRPr="00CA12D2">
        <w:rPr>
          <w:rFonts w:cs="Times New Roman"/>
          <w:b/>
          <w:sz w:val="24"/>
          <w:szCs w:val="24"/>
        </w:rPr>
        <w:t xml:space="preserve"> </w:t>
      </w:r>
      <w:r w:rsidRPr="00CA12D2">
        <w:rPr>
          <w:rFonts w:cs="Times New Roman"/>
          <w:sz w:val="24"/>
          <w:szCs w:val="24"/>
        </w:rPr>
        <w:t>The two writing assignments – i.e. a writing exercise and a final paper – are meant to help the students’ ability to closely read and analyze literary texts. While a selection of topics will be provided for the writing exercise, for the final paper, which will take the form of a research paper, students are supposed to come up with a topic, establish a thesis, and argue compellingly for it.</w:t>
      </w:r>
    </w:p>
    <w:p w:rsidR="00D31AEB" w:rsidRPr="00CA12D2" w:rsidRDefault="00D31AEB" w:rsidP="00D31AEB">
      <w:pPr>
        <w:pStyle w:val="NoSpacing"/>
        <w:numPr>
          <w:ilvl w:val="1"/>
          <w:numId w:val="2"/>
        </w:numPr>
        <w:rPr>
          <w:rFonts w:cs="Times New Roman"/>
          <w:b/>
          <w:sz w:val="24"/>
          <w:szCs w:val="24"/>
        </w:rPr>
      </w:pPr>
      <w:r w:rsidRPr="00CA12D2">
        <w:rPr>
          <w:rFonts w:cs="Times New Roman"/>
          <w:sz w:val="24"/>
          <w:szCs w:val="24"/>
        </w:rPr>
        <w:t xml:space="preserve">Your papers should be printed and submitted in class on the due date. Papers submitted late without the instructor's permission will be penalized by three points per day (e.g. B+ will become B if the paper is one day late). Please consult </w:t>
      </w:r>
      <w:r w:rsidRPr="00CA12D2">
        <w:rPr>
          <w:rFonts w:cs="Times New Roman"/>
          <w:i/>
          <w:iCs/>
          <w:sz w:val="24"/>
          <w:szCs w:val="24"/>
        </w:rPr>
        <w:t>MLA Handbook for Writers of Research Papers</w:t>
      </w:r>
      <w:r w:rsidRPr="00CA12D2">
        <w:rPr>
          <w:rFonts w:cs="Times New Roman"/>
          <w:sz w:val="24"/>
          <w:szCs w:val="24"/>
        </w:rPr>
        <w:t xml:space="preserve"> (Call #: Columbia Cooper Ready Reference LB2369.G53 2003) or </w:t>
      </w:r>
      <w:r w:rsidRPr="00CA12D2">
        <w:rPr>
          <w:rFonts w:cs="Times New Roman"/>
          <w:i/>
          <w:iCs/>
          <w:sz w:val="24"/>
          <w:szCs w:val="24"/>
        </w:rPr>
        <w:t>Chicago Manual of Style</w:t>
      </w:r>
      <w:r w:rsidRPr="00CA12D2">
        <w:rPr>
          <w:rFonts w:cs="Times New Roman"/>
          <w:sz w:val="24"/>
          <w:szCs w:val="24"/>
        </w:rPr>
        <w:t xml:space="preserve"> (Call #: Columbia Cooper Ready Reference Z253.U69 2003) for the format of the papers. See also </w:t>
      </w:r>
      <w:hyperlink r:id="rId9" w:history="1">
        <w:r w:rsidRPr="00CA12D2">
          <w:rPr>
            <w:rFonts w:cs="Times New Roman"/>
            <w:color w:val="0000FF"/>
            <w:sz w:val="24"/>
            <w:szCs w:val="24"/>
            <w:u w:val="single"/>
          </w:rPr>
          <w:t>http://www.sc.edu/library/styleresources.html</w:t>
        </w:r>
      </w:hyperlink>
      <w:r w:rsidRPr="00CA12D2">
        <w:rPr>
          <w:rFonts w:cs="Times New Roman"/>
          <w:sz w:val="24"/>
          <w:szCs w:val="24"/>
        </w:rPr>
        <w:t xml:space="preserve"> for further information on other citation guides.</w:t>
      </w:r>
    </w:p>
    <w:p w:rsidR="00D31AEB" w:rsidRPr="00CA12D2" w:rsidRDefault="00D31AEB" w:rsidP="00D31AEB">
      <w:pPr>
        <w:pStyle w:val="NoSpacing"/>
        <w:rPr>
          <w:rFonts w:cs="Times New Roman"/>
          <w:kern w:val="36"/>
          <w:sz w:val="24"/>
          <w:szCs w:val="24"/>
        </w:rPr>
      </w:pPr>
    </w:p>
    <w:p w:rsidR="007415B7" w:rsidRPr="00CA12D2" w:rsidRDefault="007415B7" w:rsidP="00D31AEB">
      <w:pPr>
        <w:pStyle w:val="NoSpacing"/>
        <w:rPr>
          <w:rFonts w:cs="Times New Roman"/>
          <w:sz w:val="24"/>
          <w:szCs w:val="24"/>
        </w:rPr>
      </w:pPr>
      <w:r w:rsidRPr="00CA12D2">
        <w:rPr>
          <w:rFonts w:cs="Times New Roman"/>
          <w:b/>
          <w:sz w:val="24"/>
          <w:szCs w:val="24"/>
        </w:rPr>
        <w:t>SAMPLE COURSE OUTLINE WITH TIMELINE OF TOPICS, READINGS/ASSIGNMENTS, EXAMS/PROJECTS</w:t>
      </w:r>
      <w:r w:rsidRPr="00CA12D2">
        <w:rPr>
          <w:rFonts w:cs="Times New Roman"/>
          <w:sz w:val="24"/>
          <w:szCs w:val="24"/>
        </w:rPr>
        <w:t>  </w:t>
      </w:r>
    </w:p>
    <w:p w:rsidR="006057DF" w:rsidRPr="00CA12D2" w:rsidRDefault="006057DF" w:rsidP="00D31AEB">
      <w:pPr>
        <w:pStyle w:val="NoSpacing"/>
        <w:rPr>
          <w:rFonts w:cs="Times New Roman"/>
          <w:sz w:val="24"/>
          <w:szCs w:val="24"/>
        </w:rPr>
      </w:pP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Introduction</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w:t>
      </w:r>
      <w:r w:rsidRPr="00CA12D2">
        <w:rPr>
          <w:rFonts w:cs="Times New Roman"/>
          <w:b/>
          <w:sz w:val="24"/>
          <w:szCs w:val="24"/>
        </w:rPr>
        <w:t>:</w:t>
      </w:r>
      <w:r w:rsidRPr="00CA12D2">
        <w:rPr>
          <w:rFonts w:cs="Times New Roman"/>
          <w:sz w:val="24"/>
          <w:szCs w:val="24"/>
        </w:rPr>
        <w:t xml:space="preserve"> </w:t>
      </w:r>
      <w:r w:rsidRPr="00CA12D2">
        <w:rPr>
          <w:rFonts w:cs="Times New Roman"/>
          <w:sz w:val="24"/>
          <w:szCs w:val="24"/>
        </w:rPr>
        <w:tab/>
      </w:r>
      <w:r w:rsidR="00D31AEB" w:rsidRPr="00CA12D2">
        <w:rPr>
          <w:rFonts w:cs="Times New Roman"/>
          <w:sz w:val="24"/>
          <w:szCs w:val="24"/>
        </w:rPr>
        <w:t>Class overview, policies, office hours, presentation assignment, etc.</w:t>
      </w:r>
    </w:p>
    <w:p w:rsidR="006057DF" w:rsidRPr="00CA12D2" w:rsidRDefault="006057DF" w:rsidP="00D31AEB">
      <w:pPr>
        <w:pStyle w:val="NoSpacing"/>
        <w:rPr>
          <w:rFonts w:cs="Times New Roman"/>
          <w:sz w:val="24"/>
          <w:szCs w:val="24"/>
        </w:rPr>
      </w:pP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Ancient Greece and the Formation of the Western Mind</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w:t>
      </w:r>
      <w:r w:rsidR="00A52FCC">
        <w:rPr>
          <w:rFonts w:cs="Times New Roman"/>
          <w:sz w:val="24"/>
          <w:szCs w:val="24"/>
        </w:rPr>
        <w:t xml:space="preserve"> reading</w:t>
      </w:r>
      <w:r w:rsidRPr="00CA12D2">
        <w:rPr>
          <w:rFonts w:cs="Times New Roman"/>
          <w:sz w:val="24"/>
          <w:szCs w:val="24"/>
        </w:rPr>
        <w:t xml:space="preserve">: pp. 105-113 </w:t>
      </w:r>
      <w:r w:rsidR="00A52FCC">
        <w:rPr>
          <w:rFonts w:cs="Times New Roman"/>
          <w:sz w:val="24"/>
          <w:szCs w:val="24"/>
        </w:rPr>
        <w:t xml:space="preserve">of </w:t>
      </w:r>
      <w:r w:rsidRPr="00CA12D2">
        <w:rPr>
          <w:rFonts w:cs="Times New Roman"/>
          <w:sz w:val="24"/>
          <w:szCs w:val="24"/>
        </w:rPr>
        <w:t>Volume A</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Aeschylus, </w:t>
      </w:r>
      <w:r w:rsidR="00D31AEB" w:rsidRPr="00CA12D2">
        <w:rPr>
          <w:rFonts w:cs="Times New Roman"/>
          <w:i/>
          <w:iCs/>
          <w:sz w:val="24"/>
          <w:szCs w:val="24"/>
        </w:rPr>
        <w:t xml:space="preserve">Agamemnon </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3</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Aeschylus, </w:t>
      </w:r>
      <w:r w:rsidR="00D31AEB" w:rsidRPr="00CA12D2">
        <w:rPr>
          <w:rFonts w:cs="Times New Roman"/>
          <w:i/>
          <w:iCs/>
          <w:sz w:val="24"/>
          <w:szCs w:val="24"/>
        </w:rPr>
        <w:t>The Eumenides</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Poetry and Thought in Early China</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805-14 of Volume A</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4</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Confucius, </w:t>
      </w:r>
      <w:r w:rsidR="00D31AEB" w:rsidRPr="00CA12D2">
        <w:rPr>
          <w:rFonts w:cs="Times New Roman"/>
          <w:i/>
          <w:iCs/>
          <w:sz w:val="24"/>
          <w:szCs w:val="24"/>
        </w:rPr>
        <w:t>Analects</w:t>
      </w:r>
      <w:r w:rsidR="00D31AEB" w:rsidRPr="00CA12D2">
        <w:rPr>
          <w:rFonts w:cs="Times New Roman"/>
          <w:sz w:val="24"/>
          <w:szCs w:val="24"/>
        </w:rPr>
        <w:t>, pp. 820-31</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India’s Heroic Age and Classical Age</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881-89 of Volume A</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5</w:t>
      </w:r>
      <w:r w:rsidRPr="00CA12D2">
        <w:rPr>
          <w:rFonts w:cs="Times New Roman"/>
          <w:b/>
          <w:sz w:val="24"/>
          <w:szCs w:val="24"/>
        </w:rPr>
        <w:t>:</w:t>
      </w:r>
      <w:r w:rsidRPr="00CA12D2">
        <w:rPr>
          <w:rFonts w:cs="Times New Roman"/>
          <w:sz w:val="24"/>
          <w:szCs w:val="24"/>
        </w:rPr>
        <w:tab/>
      </w:r>
      <w:r w:rsidR="00D31AEB" w:rsidRPr="00CA12D2">
        <w:rPr>
          <w:rFonts w:cs="Times New Roman"/>
          <w:i/>
          <w:iCs/>
          <w:sz w:val="24"/>
          <w:szCs w:val="24"/>
        </w:rPr>
        <w:t>The Mahābhārata</w:t>
      </w:r>
      <w:r w:rsidR="00D31AEB" w:rsidRPr="00CA12D2">
        <w:rPr>
          <w:rFonts w:cs="Times New Roman"/>
          <w:sz w:val="24"/>
          <w:szCs w:val="24"/>
        </w:rPr>
        <w:t>, pp. 953-983</w:t>
      </w:r>
    </w:p>
    <w:p w:rsidR="00D31AEB" w:rsidRPr="00CA12D2" w:rsidRDefault="006057DF" w:rsidP="00D31AEB">
      <w:pPr>
        <w:pStyle w:val="NoSpacing"/>
        <w:rPr>
          <w:rFonts w:cs="Times New Roman"/>
          <w:sz w:val="24"/>
          <w:szCs w:val="24"/>
        </w:rPr>
      </w:pPr>
      <w:r w:rsidRPr="00CA12D2">
        <w:rPr>
          <w:rFonts w:cs="Times New Roman"/>
          <w:b/>
          <w:sz w:val="24"/>
          <w:szCs w:val="24"/>
        </w:rPr>
        <w:lastRenderedPageBreak/>
        <w:t xml:space="preserve">Class </w:t>
      </w:r>
      <w:r w:rsidR="00D31AEB" w:rsidRPr="00CA12D2">
        <w:rPr>
          <w:rFonts w:cs="Times New Roman"/>
          <w:b/>
          <w:sz w:val="24"/>
          <w:szCs w:val="24"/>
        </w:rPr>
        <w:t>6</w:t>
      </w:r>
      <w:r w:rsidRPr="00CA12D2">
        <w:rPr>
          <w:rFonts w:cs="Times New Roman"/>
          <w:b/>
          <w:sz w:val="24"/>
          <w:szCs w:val="24"/>
        </w:rPr>
        <w:t>:</w:t>
      </w:r>
      <w:r w:rsidRPr="00CA12D2">
        <w:rPr>
          <w:rFonts w:cs="Times New Roman"/>
          <w:sz w:val="24"/>
          <w:szCs w:val="24"/>
        </w:rPr>
        <w:tab/>
      </w:r>
      <w:r w:rsidR="00D31AEB" w:rsidRPr="00CA12D2">
        <w:rPr>
          <w:rFonts w:cs="Times New Roman"/>
          <w:i/>
          <w:iCs/>
          <w:sz w:val="24"/>
          <w:szCs w:val="24"/>
        </w:rPr>
        <w:t>The Mahābhārata</w:t>
      </w:r>
      <w:r w:rsidR="00D31AEB" w:rsidRPr="00CA12D2">
        <w:rPr>
          <w:rFonts w:cs="Times New Roman"/>
          <w:sz w:val="24"/>
          <w:szCs w:val="24"/>
        </w:rPr>
        <w:t>, pp. 983-1101</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The Roman Empire</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1041-45 of Volume A</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7</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Ovid, </w:t>
      </w:r>
      <w:r w:rsidR="00D31AEB" w:rsidRPr="00CA12D2">
        <w:rPr>
          <w:rFonts w:cs="Times New Roman"/>
          <w:i/>
          <w:iCs/>
          <w:sz w:val="24"/>
          <w:szCs w:val="24"/>
        </w:rPr>
        <w:t>Metamorphoses</w:t>
      </w:r>
      <w:r w:rsidR="00D31AEB" w:rsidRPr="00CA12D2">
        <w:rPr>
          <w:rFonts w:cs="Times New Roman"/>
          <w:sz w:val="24"/>
          <w:szCs w:val="24"/>
        </w:rPr>
        <w:t>, pp. 1137-82</w:t>
      </w:r>
    </w:p>
    <w:p w:rsidR="006057DF" w:rsidRPr="00CA12D2" w:rsidRDefault="00D31AEB" w:rsidP="00D31AEB">
      <w:pPr>
        <w:pStyle w:val="NoSpacing"/>
        <w:rPr>
          <w:rFonts w:cs="Times New Roman"/>
          <w:sz w:val="24"/>
          <w:szCs w:val="24"/>
        </w:rPr>
      </w:pPr>
      <w:r w:rsidRPr="00CA12D2">
        <w:rPr>
          <w:rFonts w:cs="Times New Roman"/>
          <w:sz w:val="24"/>
          <w:szCs w:val="24"/>
        </w:rPr>
        <w:t> </w:t>
      </w:r>
      <w:bookmarkStart w:id="0" w:name="_GoBack"/>
      <w:bookmarkEnd w:id="0"/>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The Rise of Islam and Islamic Literature</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1419-28 of Volume B</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8</w:t>
      </w:r>
      <w:r w:rsidRPr="00CA12D2">
        <w:rPr>
          <w:rFonts w:cs="Times New Roman"/>
          <w:b/>
          <w:sz w:val="24"/>
          <w:szCs w:val="24"/>
        </w:rPr>
        <w:t>:</w:t>
      </w:r>
      <w:r w:rsidRPr="00CA12D2">
        <w:rPr>
          <w:rFonts w:cs="Times New Roman"/>
          <w:sz w:val="24"/>
          <w:szCs w:val="24"/>
        </w:rPr>
        <w:tab/>
      </w:r>
      <w:r w:rsidR="00D31AEB" w:rsidRPr="00CA12D2">
        <w:rPr>
          <w:rFonts w:cs="Times New Roman"/>
          <w:i/>
          <w:iCs/>
          <w:sz w:val="24"/>
          <w:szCs w:val="24"/>
        </w:rPr>
        <w:t>The Tragedy of Sohráb and Rostám</w:t>
      </w:r>
      <w:r w:rsidR="00D31AEB" w:rsidRPr="00CA12D2">
        <w:rPr>
          <w:rFonts w:cs="Times New Roman"/>
          <w:sz w:val="24"/>
          <w:szCs w:val="24"/>
        </w:rPr>
        <w:t>, pp. 1476-1524</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China’s “Middle Period”</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1353-57 of Volume B</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9</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Tang Poetry: Li Po and Tu Fu</w:t>
      </w:r>
    </w:p>
    <w:p w:rsidR="00D31AEB" w:rsidRPr="00CA12D2" w:rsidRDefault="006057DF" w:rsidP="00D31AEB">
      <w:pPr>
        <w:pStyle w:val="NoSpacing"/>
        <w:rPr>
          <w:rFonts w:cs="Times New Roman"/>
          <w:sz w:val="24"/>
          <w:szCs w:val="24"/>
        </w:rPr>
      </w:pPr>
      <w:r w:rsidRPr="00CA12D2">
        <w:rPr>
          <w:rFonts w:cs="Times New Roman"/>
          <w:sz w:val="24"/>
          <w:szCs w:val="24"/>
        </w:rPr>
        <w:t xml:space="preserve">                        </w:t>
      </w:r>
      <w:r w:rsidR="00D31AEB" w:rsidRPr="00CA12D2">
        <w:rPr>
          <w:rFonts w:cs="Times New Roman"/>
          <w:sz w:val="24"/>
          <w:szCs w:val="24"/>
        </w:rPr>
        <w:t>“Writing Exercise” paper due in class</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The Golden Age of Japanese Literature</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2143-47 of Volume B</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10</w:t>
      </w:r>
      <w:r w:rsidRPr="00CA12D2">
        <w:rPr>
          <w:rFonts w:cs="Times New Roman"/>
          <w:b/>
          <w:sz w:val="24"/>
          <w:szCs w:val="24"/>
        </w:rPr>
        <w:t>:</w:t>
      </w:r>
      <w:r w:rsidRPr="00CA12D2">
        <w:rPr>
          <w:rFonts w:cs="Times New Roman"/>
          <w:sz w:val="24"/>
          <w:szCs w:val="24"/>
        </w:rPr>
        <w:tab/>
      </w:r>
      <w:r w:rsidR="00D31AEB" w:rsidRPr="00CA12D2">
        <w:rPr>
          <w:rFonts w:cs="Times New Roman"/>
          <w:i/>
          <w:iCs/>
          <w:sz w:val="24"/>
          <w:szCs w:val="24"/>
        </w:rPr>
        <w:t xml:space="preserve">Nō </w:t>
      </w:r>
      <w:r w:rsidR="00D31AEB" w:rsidRPr="00CA12D2">
        <w:rPr>
          <w:rFonts w:cs="Times New Roman"/>
          <w:sz w:val="24"/>
          <w:szCs w:val="24"/>
        </w:rPr>
        <w:t xml:space="preserve">drama: </w:t>
      </w:r>
      <w:r w:rsidR="00D31AEB" w:rsidRPr="00CA12D2">
        <w:rPr>
          <w:rFonts w:cs="Times New Roman"/>
          <w:i/>
          <w:iCs/>
          <w:sz w:val="24"/>
          <w:szCs w:val="24"/>
        </w:rPr>
        <w:t>Atsumori</w:t>
      </w:r>
      <w:r w:rsidR="00D31AEB" w:rsidRPr="00CA12D2">
        <w:rPr>
          <w:rFonts w:cs="Times New Roman"/>
          <w:sz w:val="24"/>
          <w:szCs w:val="24"/>
        </w:rPr>
        <w:t xml:space="preserve"> and </w:t>
      </w:r>
      <w:r w:rsidR="00D31AEB" w:rsidRPr="00CA12D2">
        <w:rPr>
          <w:rFonts w:cs="Times New Roman"/>
          <w:i/>
          <w:iCs/>
          <w:sz w:val="24"/>
          <w:szCs w:val="24"/>
        </w:rPr>
        <w:t>Haku Rakuten</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w:t>
      </w:r>
      <w:r w:rsidRPr="00CA12D2">
        <w:rPr>
          <w:rFonts w:cs="Times New Roman"/>
          <w:b/>
          <w:sz w:val="24"/>
          <w:szCs w:val="24"/>
        </w:rPr>
        <w:t>1:</w:t>
      </w:r>
      <w:r w:rsidRPr="00CA12D2">
        <w:rPr>
          <w:rFonts w:cs="Times New Roman"/>
          <w:sz w:val="24"/>
          <w:szCs w:val="24"/>
        </w:rPr>
        <w:tab/>
      </w:r>
      <w:r w:rsidR="00D31AEB" w:rsidRPr="00CA12D2">
        <w:rPr>
          <w:rFonts w:cs="Times New Roman"/>
          <w:i/>
          <w:iCs/>
          <w:sz w:val="24"/>
          <w:szCs w:val="24"/>
        </w:rPr>
        <w:t xml:space="preserve">Nō </w:t>
      </w:r>
      <w:r w:rsidR="00D31AEB" w:rsidRPr="00CA12D2">
        <w:rPr>
          <w:rFonts w:cs="Times New Roman"/>
          <w:sz w:val="24"/>
          <w:szCs w:val="24"/>
        </w:rPr>
        <w:t xml:space="preserve">drama: </w:t>
      </w:r>
      <w:r w:rsidR="00D31AEB" w:rsidRPr="00CA12D2">
        <w:rPr>
          <w:rFonts w:cs="Times New Roman"/>
          <w:i/>
          <w:iCs/>
          <w:sz w:val="24"/>
          <w:szCs w:val="24"/>
        </w:rPr>
        <w:t>Dōjōji</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12</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Review</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13</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Midterm </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The Formation of a Western Literature</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1621-25 of Volume B</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14</w:t>
      </w:r>
      <w:r w:rsidRPr="00CA12D2">
        <w:rPr>
          <w:rFonts w:cs="Times New Roman"/>
          <w:b/>
          <w:sz w:val="24"/>
          <w:szCs w:val="24"/>
        </w:rPr>
        <w:t>:</w:t>
      </w:r>
      <w:r w:rsidRPr="00CA12D2">
        <w:rPr>
          <w:rFonts w:cs="Times New Roman"/>
          <w:sz w:val="24"/>
          <w:szCs w:val="24"/>
        </w:rPr>
        <w:tab/>
      </w:r>
      <w:r w:rsidR="00D31AEB" w:rsidRPr="00CA12D2">
        <w:rPr>
          <w:rFonts w:cs="Times New Roman"/>
          <w:i/>
          <w:iCs/>
          <w:sz w:val="24"/>
          <w:szCs w:val="24"/>
        </w:rPr>
        <w:t xml:space="preserve">The Song of Roland, </w:t>
      </w:r>
      <w:r w:rsidR="00D31AEB" w:rsidRPr="00CA12D2">
        <w:rPr>
          <w:rFonts w:cs="Times New Roman"/>
          <w:sz w:val="24"/>
          <w:szCs w:val="24"/>
        </w:rPr>
        <w:t>pp. 1702-67</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The Renaissance in Europe</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2465-75 of Volume C</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15</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Montaigne, </w:t>
      </w:r>
      <w:r w:rsidR="00D31AEB" w:rsidRPr="00CA12D2">
        <w:rPr>
          <w:rFonts w:cs="Times New Roman"/>
          <w:i/>
          <w:iCs/>
          <w:sz w:val="24"/>
          <w:szCs w:val="24"/>
        </w:rPr>
        <w:t xml:space="preserve">Essays </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16</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Shakespeare, </w:t>
      </w:r>
      <w:r w:rsidR="00D31AEB" w:rsidRPr="00CA12D2">
        <w:rPr>
          <w:rFonts w:cs="Times New Roman"/>
          <w:i/>
          <w:iCs/>
          <w:sz w:val="24"/>
          <w:szCs w:val="24"/>
        </w:rPr>
        <w:t>Hamlet</w:t>
      </w:r>
      <w:r w:rsidR="00D31AEB" w:rsidRPr="00CA12D2">
        <w:rPr>
          <w:rFonts w:cs="Times New Roman"/>
          <w:sz w:val="24"/>
          <w:szCs w:val="24"/>
        </w:rPr>
        <w:t>   </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The Enlightenment in Europe</w:t>
      </w:r>
    </w:p>
    <w:p w:rsidR="00D31AEB" w:rsidRPr="00CA12D2" w:rsidRDefault="00D31AEB" w:rsidP="00D31AEB">
      <w:pPr>
        <w:pStyle w:val="NoSpacing"/>
        <w:rPr>
          <w:rFonts w:cs="Times New Roman"/>
          <w:sz w:val="24"/>
          <w:szCs w:val="24"/>
        </w:rPr>
      </w:pPr>
      <w:r w:rsidRPr="00CA12D2">
        <w:rPr>
          <w:rFonts w:cs="Times New Roman"/>
          <w:sz w:val="24"/>
          <w:szCs w:val="24"/>
        </w:rPr>
        <w:t>Background reading: pp. 295-303 of Volume D</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17</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Racine, </w:t>
      </w:r>
      <w:r w:rsidR="00D31AEB" w:rsidRPr="00CA12D2">
        <w:rPr>
          <w:rFonts w:cs="Times New Roman"/>
          <w:i/>
          <w:iCs/>
          <w:sz w:val="24"/>
          <w:szCs w:val="24"/>
        </w:rPr>
        <w:t>Phaedra</w:t>
      </w:r>
    </w:p>
    <w:p w:rsidR="00D31AEB" w:rsidRPr="00CA12D2" w:rsidRDefault="00D31AEB" w:rsidP="00D31AEB">
      <w:pPr>
        <w:pStyle w:val="NoSpacing"/>
        <w:rPr>
          <w:rFonts w:cs="Times New Roman"/>
          <w:sz w:val="24"/>
          <w:szCs w:val="24"/>
        </w:rPr>
      </w:pPr>
      <w:r w:rsidRPr="00CA12D2">
        <w:rPr>
          <w:rFonts w:cs="Times New Roman"/>
          <w:i/>
          <w:iCs/>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Realism, Naturalism, and Symbolism in Europe</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1071-83 of Volume E</w:t>
      </w:r>
      <w:r w:rsidR="006057DF" w:rsidRPr="00CA12D2">
        <w:rPr>
          <w:rFonts w:cs="Times New Roman"/>
          <w:sz w:val="24"/>
          <w:szCs w:val="24"/>
        </w:rPr>
        <w:tab/>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18</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Leo Tolstoy, “The Death of Ivan Illyich”</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19</w:t>
      </w:r>
      <w:r w:rsidRPr="00CA12D2">
        <w:rPr>
          <w:rFonts w:cs="Times New Roman"/>
          <w:b/>
          <w:sz w:val="24"/>
          <w:szCs w:val="24"/>
        </w:rPr>
        <w:t>:</w:t>
      </w:r>
      <w:r w:rsidRPr="00CA12D2">
        <w:rPr>
          <w:rFonts w:cs="Times New Roman"/>
          <w:b/>
          <w:sz w:val="24"/>
          <w:szCs w:val="24"/>
        </w:rPr>
        <w:tab/>
      </w:r>
      <w:r w:rsidR="00D31AEB" w:rsidRPr="00CA12D2">
        <w:rPr>
          <w:rFonts w:cs="Times New Roman"/>
          <w:sz w:val="24"/>
          <w:szCs w:val="24"/>
        </w:rPr>
        <w:t xml:space="preserve">Ibsen, </w:t>
      </w:r>
      <w:r w:rsidR="00D31AEB" w:rsidRPr="00CA12D2">
        <w:rPr>
          <w:rFonts w:cs="Times New Roman"/>
          <w:i/>
          <w:iCs/>
          <w:sz w:val="24"/>
          <w:szCs w:val="24"/>
        </w:rPr>
        <w:t>Hedda Gabler</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20</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Chekhov, </w:t>
      </w:r>
      <w:r w:rsidR="00D31AEB" w:rsidRPr="00CA12D2">
        <w:rPr>
          <w:rFonts w:cs="Times New Roman"/>
          <w:i/>
          <w:iCs/>
          <w:sz w:val="24"/>
          <w:szCs w:val="24"/>
        </w:rPr>
        <w:t>The Cherry Orchard</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Japan: Early Modern and Modern Periods</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 583-87 of Volume D</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21</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Saikaku, “The Barrelmaker Brimful of Love,” pp.588-603</w:t>
      </w:r>
    </w:p>
    <w:p w:rsidR="00D31AEB" w:rsidRPr="00CA12D2" w:rsidRDefault="006057DF" w:rsidP="00D31AEB">
      <w:pPr>
        <w:pStyle w:val="NoSpacing"/>
        <w:rPr>
          <w:rFonts w:cs="Times New Roman"/>
          <w:sz w:val="24"/>
          <w:szCs w:val="24"/>
        </w:rPr>
      </w:pPr>
      <w:r w:rsidRPr="00CA12D2">
        <w:rPr>
          <w:rFonts w:cs="Times New Roman"/>
          <w:b/>
          <w:sz w:val="24"/>
          <w:szCs w:val="24"/>
        </w:rPr>
        <w:lastRenderedPageBreak/>
        <w:t xml:space="preserve">Class </w:t>
      </w:r>
      <w:r w:rsidR="00D31AEB" w:rsidRPr="00CA12D2">
        <w:rPr>
          <w:rFonts w:cs="Times New Roman"/>
          <w:b/>
          <w:sz w:val="24"/>
          <w:szCs w:val="24"/>
        </w:rPr>
        <w:t>22</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The legend of Zatoichi</w:t>
      </w:r>
    </w:p>
    <w:p w:rsidR="00D31AEB" w:rsidRPr="00CA12D2" w:rsidRDefault="00D31AEB" w:rsidP="00D31AEB">
      <w:pPr>
        <w:pStyle w:val="NoSpacing"/>
        <w:rPr>
          <w:rFonts w:cs="Times New Roman"/>
          <w:sz w:val="24"/>
          <w:szCs w:val="24"/>
        </w:rPr>
      </w:pPr>
      <w:r w:rsidRPr="00CA12D2">
        <w:rPr>
          <w:rFonts w:cs="Times New Roman"/>
          <w:sz w:val="24"/>
          <w:szCs w:val="24"/>
        </w:rPr>
        <w:t>                   </w:t>
      </w:r>
      <w:r w:rsidR="006057DF" w:rsidRPr="00CA12D2">
        <w:rPr>
          <w:rFonts w:cs="Times New Roman"/>
          <w:sz w:val="24"/>
          <w:szCs w:val="24"/>
        </w:rPr>
        <w:tab/>
      </w:r>
      <w:r w:rsidRPr="00CA12D2">
        <w:rPr>
          <w:rFonts w:cs="Times New Roman"/>
          <w:sz w:val="24"/>
          <w:szCs w:val="24"/>
        </w:rPr>
        <w:t xml:space="preserve">Viewing: </w:t>
      </w:r>
      <w:r w:rsidRPr="00CA12D2">
        <w:rPr>
          <w:rFonts w:cs="Times New Roman"/>
          <w:i/>
          <w:iCs/>
          <w:sz w:val="24"/>
          <w:szCs w:val="24"/>
        </w:rPr>
        <w:t>Zatoichi</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23</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Tanizaki, </w:t>
      </w:r>
      <w:r w:rsidR="00D31AEB" w:rsidRPr="00CA12D2">
        <w:rPr>
          <w:rFonts w:cs="Times New Roman"/>
          <w:i/>
          <w:iCs/>
          <w:sz w:val="24"/>
          <w:szCs w:val="24"/>
        </w:rPr>
        <w:t>In Praise of Shadows</w:t>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b/>
          <w:sz w:val="24"/>
          <w:szCs w:val="24"/>
          <w:u w:val="single"/>
        </w:rPr>
      </w:pPr>
      <w:r w:rsidRPr="00CA12D2">
        <w:rPr>
          <w:rFonts w:cs="Times New Roman"/>
          <w:b/>
          <w:sz w:val="24"/>
          <w:szCs w:val="24"/>
          <w:u w:val="single"/>
        </w:rPr>
        <w:t>The Modern World</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Background reading:  pp.1579-1606 of Volume F</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24</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Mann, </w:t>
      </w:r>
      <w:r w:rsidR="00D31AEB" w:rsidRPr="00CA12D2">
        <w:rPr>
          <w:rFonts w:cs="Times New Roman"/>
          <w:i/>
          <w:iCs/>
          <w:sz w:val="24"/>
          <w:szCs w:val="24"/>
        </w:rPr>
        <w:t>Death in Venice</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25</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Brecht, </w:t>
      </w:r>
      <w:r w:rsidR="00D31AEB" w:rsidRPr="00CA12D2">
        <w:rPr>
          <w:rFonts w:cs="Times New Roman"/>
          <w:i/>
          <w:iCs/>
          <w:sz w:val="24"/>
          <w:szCs w:val="24"/>
        </w:rPr>
        <w:t>The Good Woman of Setzuan</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26</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Borges, </w:t>
      </w:r>
      <w:r w:rsidR="00D31AEB" w:rsidRPr="00CA12D2">
        <w:rPr>
          <w:rFonts w:cs="Times New Roman"/>
          <w:i/>
          <w:iCs/>
          <w:sz w:val="24"/>
          <w:szCs w:val="24"/>
        </w:rPr>
        <w:t>The Garden of Forking Paths</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27</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Lessing, “The Old Chief Mshlanga”</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28</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Soyinka, </w:t>
      </w:r>
      <w:r w:rsidR="00D31AEB" w:rsidRPr="00CA12D2">
        <w:rPr>
          <w:rFonts w:cs="Times New Roman"/>
          <w:i/>
          <w:iCs/>
          <w:sz w:val="24"/>
          <w:szCs w:val="24"/>
        </w:rPr>
        <w:t>Death and the King’s Horseman</w:t>
      </w:r>
    </w:p>
    <w:p w:rsidR="00D31AEB" w:rsidRPr="00CA12D2" w:rsidRDefault="006057DF" w:rsidP="00D31AEB">
      <w:pPr>
        <w:pStyle w:val="NoSpacing"/>
        <w:rPr>
          <w:rFonts w:cs="Times New Roman"/>
          <w:sz w:val="24"/>
          <w:szCs w:val="24"/>
        </w:rPr>
      </w:pPr>
      <w:r w:rsidRPr="00CA12D2">
        <w:rPr>
          <w:rFonts w:cs="Times New Roman"/>
          <w:b/>
          <w:sz w:val="24"/>
          <w:szCs w:val="24"/>
        </w:rPr>
        <w:t xml:space="preserve">Class </w:t>
      </w:r>
      <w:r w:rsidR="00D31AEB" w:rsidRPr="00CA12D2">
        <w:rPr>
          <w:rFonts w:cs="Times New Roman"/>
          <w:b/>
          <w:sz w:val="24"/>
          <w:szCs w:val="24"/>
        </w:rPr>
        <w:t>29</w:t>
      </w:r>
      <w:r w:rsidRPr="00CA12D2">
        <w:rPr>
          <w:rFonts w:cs="Times New Roman"/>
          <w:b/>
          <w:sz w:val="24"/>
          <w:szCs w:val="24"/>
        </w:rPr>
        <w:t>:</w:t>
      </w:r>
      <w:r w:rsidRPr="00CA12D2">
        <w:rPr>
          <w:rFonts w:cs="Times New Roman"/>
          <w:sz w:val="24"/>
          <w:szCs w:val="24"/>
        </w:rPr>
        <w:tab/>
      </w:r>
      <w:r w:rsidR="00D31AEB" w:rsidRPr="00CA12D2">
        <w:rPr>
          <w:rFonts w:cs="Times New Roman"/>
          <w:sz w:val="24"/>
          <w:szCs w:val="24"/>
        </w:rPr>
        <w:t xml:space="preserve">Wrap-up         </w:t>
      </w:r>
    </w:p>
    <w:p w:rsidR="00D31AEB" w:rsidRPr="00CA12D2" w:rsidRDefault="00D31AEB" w:rsidP="006057DF">
      <w:pPr>
        <w:pStyle w:val="NoSpacing"/>
        <w:ind w:left="720" w:firstLine="720"/>
        <w:rPr>
          <w:rFonts w:cs="Times New Roman"/>
          <w:sz w:val="24"/>
          <w:szCs w:val="24"/>
        </w:rPr>
      </w:pPr>
      <w:r w:rsidRPr="00CA12D2">
        <w:rPr>
          <w:rFonts w:cs="Times New Roman"/>
          <w:sz w:val="24"/>
          <w:szCs w:val="24"/>
        </w:rPr>
        <w:t>Term paper due in class</w:t>
      </w:r>
      <w:r w:rsidR="006057DF" w:rsidRPr="00CA12D2">
        <w:rPr>
          <w:rFonts w:cs="Times New Roman"/>
          <w:sz w:val="24"/>
          <w:szCs w:val="24"/>
        </w:rPr>
        <w:t xml:space="preserve"> </w:t>
      </w:r>
    </w:p>
    <w:p w:rsidR="006057DF" w:rsidRPr="00CA12D2" w:rsidRDefault="006057DF" w:rsidP="006057DF">
      <w:pPr>
        <w:pStyle w:val="NoSpacing"/>
        <w:ind w:left="720" w:firstLine="720"/>
        <w:rPr>
          <w:rFonts w:cs="Times New Roman"/>
          <w:sz w:val="24"/>
          <w:szCs w:val="24"/>
        </w:rPr>
      </w:pPr>
    </w:p>
    <w:p w:rsidR="006057DF" w:rsidRPr="00CA12D2" w:rsidRDefault="006057DF" w:rsidP="006057DF">
      <w:pPr>
        <w:pStyle w:val="NoSpacing"/>
        <w:rPr>
          <w:rFonts w:cs="Times New Roman"/>
          <w:b/>
          <w:sz w:val="24"/>
          <w:szCs w:val="24"/>
        </w:rPr>
      </w:pPr>
      <w:r w:rsidRPr="00CA12D2">
        <w:rPr>
          <w:rFonts w:cs="Times New Roman"/>
          <w:b/>
          <w:sz w:val="24"/>
          <w:szCs w:val="24"/>
        </w:rPr>
        <w:tab/>
        <w:t>FINAL EXAM according to University exam schedule</w:t>
      </w:r>
      <w:r w:rsidRPr="00CA12D2">
        <w:rPr>
          <w:rFonts w:cs="Times New Roman"/>
          <w:b/>
          <w:sz w:val="24"/>
          <w:szCs w:val="24"/>
        </w:rPr>
        <w:tab/>
      </w:r>
    </w:p>
    <w:p w:rsidR="00D31AEB" w:rsidRPr="00CA12D2" w:rsidRDefault="00D31AEB" w:rsidP="00D31AEB">
      <w:pPr>
        <w:pStyle w:val="NoSpacing"/>
        <w:rPr>
          <w:rFonts w:cs="Times New Roman"/>
          <w:sz w:val="24"/>
          <w:szCs w:val="24"/>
        </w:rPr>
      </w:pPr>
      <w:r w:rsidRPr="00CA12D2">
        <w:rPr>
          <w:rFonts w:cs="Times New Roman"/>
          <w:sz w:val="24"/>
          <w:szCs w:val="24"/>
        </w:rPr>
        <w:t> </w:t>
      </w:r>
    </w:p>
    <w:p w:rsidR="00D31AEB" w:rsidRPr="00CA12D2" w:rsidRDefault="00D31AEB" w:rsidP="00D31AEB">
      <w:pPr>
        <w:pStyle w:val="NoSpacing"/>
        <w:rPr>
          <w:rFonts w:cs="Times New Roman"/>
          <w:sz w:val="24"/>
          <w:szCs w:val="24"/>
        </w:rPr>
      </w:pPr>
      <w:r w:rsidRPr="00CA12D2">
        <w:rPr>
          <w:rFonts w:cs="Times New Roman"/>
          <w:sz w:val="24"/>
          <w:szCs w:val="24"/>
        </w:rPr>
        <w:t> </w:t>
      </w:r>
    </w:p>
    <w:p w:rsidR="008D39D1" w:rsidRPr="00CA12D2" w:rsidRDefault="008D39D1" w:rsidP="00D31AEB">
      <w:pPr>
        <w:pStyle w:val="NoSpacing"/>
        <w:rPr>
          <w:rFonts w:cs="Times New Roman"/>
          <w:sz w:val="24"/>
          <w:szCs w:val="24"/>
        </w:rPr>
      </w:pPr>
    </w:p>
    <w:sectPr w:rsidR="008D39D1" w:rsidRPr="00CA12D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65A" w:rsidRDefault="0007465A" w:rsidP="00D31AEB">
      <w:pPr>
        <w:spacing w:after="0" w:line="240" w:lineRule="auto"/>
      </w:pPr>
      <w:r>
        <w:separator/>
      </w:r>
    </w:p>
  </w:endnote>
  <w:endnote w:type="continuationSeparator" w:id="0">
    <w:p w:rsidR="0007465A" w:rsidRDefault="0007465A" w:rsidP="00D3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D2" w:rsidRDefault="00CA12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0945667"/>
      <w:docPartObj>
        <w:docPartGallery w:val="Page Numbers (Bottom of Page)"/>
        <w:docPartUnique/>
      </w:docPartObj>
    </w:sdtPr>
    <w:sdtEndPr>
      <w:rPr>
        <w:noProof/>
      </w:rPr>
    </w:sdtEndPr>
    <w:sdtContent>
      <w:p w:rsidR="00CA12D2" w:rsidRDefault="00CA12D2">
        <w:pPr>
          <w:pStyle w:val="Footer"/>
          <w:jc w:val="center"/>
        </w:pPr>
        <w:r>
          <w:fldChar w:fldCharType="begin"/>
        </w:r>
        <w:r>
          <w:instrText xml:space="preserve"> PAGE   \* MERGEFORMAT </w:instrText>
        </w:r>
        <w:r>
          <w:fldChar w:fldCharType="separate"/>
        </w:r>
        <w:r w:rsidR="00A52FCC">
          <w:rPr>
            <w:noProof/>
          </w:rPr>
          <w:t>4</w:t>
        </w:r>
        <w:r>
          <w:rPr>
            <w:noProof/>
          </w:rPr>
          <w:fldChar w:fldCharType="end"/>
        </w:r>
      </w:p>
    </w:sdtContent>
  </w:sdt>
  <w:p w:rsidR="00D31AEB" w:rsidRDefault="00D31A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2D2" w:rsidRDefault="00CA1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65A" w:rsidRDefault="0007465A" w:rsidP="00D31AEB">
      <w:pPr>
        <w:spacing w:after="0" w:line="240" w:lineRule="auto"/>
      </w:pPr>
      <w:r>
        <w:separator/>
      </w:r>
    </w:p>
  </w:footnote>
  <w:footnote w:type="continuationSeparator" w:id="0">
    <w:p w:rsidR="0007465A" w:rsidRDefault="0007465A" w:rsidP="00D3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EB" w:rsidRDefault="00A52F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92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EB" w:rsidRDefault="00A52F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92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EB" w:rsidRDefault="00A52FC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92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6E2"/>
    <w:multiLevelType w:val="hybridMultilevel"/>
    <w:tmpl w:val="263AE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E7809"/>
    <w:multiLevelType w:val="hybridMultilevel"/>
    <w:tmpl w:val="9ABA5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DC40B3"/>
    <w:multiLevelType w:val="hybridMultilevel"/>
    <w:tmpl w:val="6A8AC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EB"/>
    <w:rsid w:val="0007465A"/>
    <w:rsid w:val="000B4B89"/>
    <w:rsid w:val="001551D0"/>
    <w:rsid w:val="006057DF"/>
    <w:rsid w:val="007415B7"/>
    <w:rsid w:val="008D39D1"/>
    <w:rsid w:val="00925349"/>
    <w:rsid w:val="00A52FCC"/>
    <w:rsid w:val="00CA12D2"/>
    <w:rsid w:val="00D31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1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A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1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AEB"/>
    <w:rPr>
      <w:b/>
      <w:bCs/>
    </w:rPr>
  </w:style>
  <w:style w:type="character" w:styleId="Hyperlink">
    <w:name w:val="Hyperlink"/>
    <w:basedOn w:val="DefaultParagraphFont"/>
    <w:uiPriority w:val="99"/>
    <w:semiHidden/>
    <w:unhideWhenUsed/>
    <w:rsid w:val="00D31AEB"/>
    <w:rPr>
      <w:color w:val="0000FF"/>
      <w:u w:val="single"/>
    </w:rPr>
  </w:style>
  <w:style w:type="character" w:styleId="Emphasis">
    <w:name w:val="Emphasis"/>
    <w:basedOn w:val="DefaultParagraphFont"/>
    <w:uiPriority w:val="20"/>
    <w:qFormat/>
    <w:rsid w:val="00D31AEB"/>
    <w:rPr>
      <w:i/>
      <w:iCs/>
    </w:rPr>
  </w:style>
  <w:style w:type="paragraph" w:styleId="NoSpacing">
    <w:name w:val="No Spacing"/>
    <w:uiPriority w:val="1"/>
    <w:qFormat/>
    <w:rsid w:val="00D31AEB"/>
    <w:pPr>
      <w:spacing w:after="0" w:line="240" w:lineRule="auto"/>
    </w:pPr>
  </w:style>
  <w:style w:type="paragraph" w:styleId="BalloonText">
    <w:name w:val="Balloon Text"/>
    <w:basedOn w:val="Normal"/>
    <w:link w:val="BalloonTextChar"/>
    <w:uiPriority w:val="99"/>
    <w:semiHidden/>
    <w:unhideWhenUsed/>
    <w:rsid w:val="00D3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AEB"/>
    <w:rPr>
      <w:rFonts w:ascii="Tahoma" w:hAnsi="Tahoma" w:cs="Tahoma"/>
      <w:sz w:val="16"/>
      <w:szCs w:val="16"/>
    </w:rPr>
  </w:style>
  <w:style w:type="paragraph" w:styleId="Header">
    <w:name w:val="header"/>
    <w:basedOn w:val="Normal"/>
    <w:link w:val="HeaderChar"/>
    <w:uiPriority w:val="99"/>
    <w:unhideWhenUsed/>
    <w:rsid w:val="00D31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EB"/>
  </w:style>
  <w:style w:type="paragraph" w:styleId="Footer">
    <w:name w:val="footer"/>
    <w:basedOn w:val="Normal"/>
    <w:link w:val="FooterChar"/>
    <w:uiPriority w:val="99"/>
    <w:unhideWhenUsed/>
    <w:rsid w:val="00D31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1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AE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1A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1AEB"/>
    <w:rPr>
      <w:b/>
      <w:bCs/>
    </w:rPr>
  </w:style>
  <w:style w:type="character" w:styleId="Hyperlink">
    <w:name w:val="Hyperlink"/>
    <w:basedOn w:val="DefaultParagraphFont"/>
    <w:uiPriority w:val="99"/>
    <w:semiHidden/>
    <w:unhideWhenUsed/>
    <w:rsid w:val="00D31AEB"/>
    <w:rPr>
      <w:color w:val="0000FF"/>
      <w:u w:val="single"/>
    </w:rPr>
  </w:style>
  <w:style w:type="character" w:styleId="Emphasis">
    <w:name w:val="Emphasis"/>
    <w:basedOn w:val="DefaultParagraphFont"/>
    <w:uiPriority w:val="20"/>
    <w:qFormat/>
    <w:rsid w:val="00D31AEB"/>
    <w:rPr>
      <w:i/>
      <w:iCs/>
    </w:rPr>
  </w:style>
  <w:style w:type="paragraph" w:styleId="NoSpacing">
    <w:name w:val="No Spacing"/>
    <w:uiPriority w:val="1"/>
    <w:qFormat/>
    <w:rsid w:val="00D31AEB"/>
    <w:pPr>
      <w:spacing w:after="0" w:line="240" w:lineRule="auto"/>
    </w:pPr>
  </w:style>
  <w:style w:type="paragraph" w:styleId="BalloonText">
    <w:name w:val="Balloon Text"/>
    <w:basedOn w:val="Normal"/>
    <w:link w:val="BalloonTextChar"/>
    <w:uiPriority w:val="99"/>
    <w:semiHidden/>
    <w:unhideWhenUsed/>
    <w:rsid w:val="00D3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AEB"/>
    <w:rPr>
      <w:rFonts w:ascii="Tahoma" w:hAnsi="Tahoma" w:cs="Tahoma"/>
      <w:sz w:val="16"/>
      <w:szCs w:val="16"/>
    </w:rPr>
  </w:style>
  <w:style w:type="paragraph" w:styleId="Header">
    <w:name w:val="header"/>
    <w:basedOn w:val="Normal"/>
    <w:link w:val="HeaderChar"/>
    <w:uiPriority w:val="99"/>
    <w:unhideWhenUsed/>
    <w:rsid w:val="00D31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EB"/>
  </w:style>
  <w:style w:type="paragraph" w:styleId="Footer">
    <w:name w:val="footer"/>
    <w:basedOn w:val="Normal"/>
    <w:link w:val="FooterChar"/>
    <w:uiPriority w:val="99"/>
    <w:unhideWhenUsed/>
    <w:rsid w:val="00D31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02747">
      <w:bodyDiv w:val="1"/>
      <w:marLeft w:val="0"/>
      <w:marRight w:val="0"/>
      <w:marTop w:val="0"/>
      <w:marBottom w:val="0"/>
      <w:divBdr>
        <w:top w:val="none" w:sz="0" w:space="0" w:color="auto"/>
        <w:left w:val="none" w:sz="0" w:space="0" w:color="auto"/>
        <w:bottom w:val="none" w:sz="0" w:space="0" w:color="auto"/>
        <w:right w:val="none" w:sz="0" w:space="0" w:color="auto"/>
      </w:divBdr>
      <w:divsChild>
        <w:div w:id="128615579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edu/library/styleresource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2013-03-20T19:07:00Z</dcterms:created>
  <dcterms:modified xsi:type="dcterms:W3CDTF">2013-04-10T18:53:00Z</dcterms:modified>
</cp:coreProperties>
</file>